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BB" w:rsidRDefault="004D07BB" w:rsidP="005D2860">
      <w:pPr>
        <w:pStyle w:val="Heading1"/>
        <w:jc w:val="center"/>
      </w:pPr>
    </w:p>
    <w:p w:rsidR="00565641" w:rsidRPr="000B0841" w:rsidRDefault="005D2860" w:rsidP="005D2860">
      <w:pPr>
        <w:pStyle w:val="Heading1"/>
        <w:jc w:val="center"/>
      </w:pPr>
      <w:r>
        <w:t>Program Approval Process – P</w:t>
      </w:r>
      <w:r w:rsidR="00B20AC4">
        <w:t>rogram Pathway</w:t>
      </w:r>
    </w:p>
    <w:p w:rsidR="00543B0F" w:rsidRPr="00543B0F" w:rsidRDefault="00543B0F" w:rsidP="00543B0F"/>
    <w:p w:rsidR="00543B0F" w:rsidRPr="00543B0F" w:rsidRDefault="00543B0F" w:rsidP="00543B0F">
      <w:pPr>
        <w:pStyle w:val="NoSpacing"/>
      </w:pPr>
      <w:r>
        <w:t xml:space="preserve">                  Rationale </w:t>
      </w:r>
      <w:r>
        <w:tab/>
      </w:r>
      <w:r>
        <w:tab/>
      </w:r>
      <w:r>
        <w:tab/>
      </w:r>
      <w:r w:rsidR="000B0841">
        <w:t xml:space="preserve">                      </w:t>
      </w:r>
      <w:r w:rsidR="00940406">
        <w:t xml:space="preserve">Recommendations   </w:t>
      </w:r>
      <w:r>
        <w:tab/>
      </w:r>
      <w:r w:rsidR="000B0841">
        <w:t xml:space="preserve">                                 </w:t>
      </w:r>
      <w:r w:rsidR="00940406">
        <w:t>Criteria</w:t>
      </w:r>
      <w:r w:rsidR="00940406">
        <w:tab/>
      </w:r>
      <w:r w:rsidR="00940406">
        <w:tab/>
        <w:t xml:space="preserve">       </w:t>
      </w:r>
      <w:r>
        <w:t>Programs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5281"/>
        <w:gridCol w:w="2550"/>
        <w:gridCol w:w="2352"/>
      </w:tblGrid>
      <w:tr w:rsidR="00C42B48" w:rsidTr="000B0841">
        <w:tc>
          <w:tcPr>
            <w:tcW w:w="2808" w:type="dxa"/>
          </w:tcPr>
          <w:p w:rsidR="00543B0F" w:rsidRDefault="00543B0F" w:rsidP="00543B0F">
            <w:pPr>
              <w:pStyle w:val="NoSpacing"/>
            </w:pPr>
          </w:p>
          <w:p w:rsidR="00B20AC4" w:rsidRDefault="00B20AC4" w:rsidP="00B20AC4">
            <w:pPr>
              <w:pStyle w:val="NoSpacing"/>
              <w:numPr>
                <w:ilvl w:val="0"/>
                <w:numId w:val="3"/>
              </w:numPr>
              <w:ind w:left="330" w:hanging="180"/>
            </w:pPr>
            <w:r>
              <w:t>Understanding how the program fits within one or more pathways is important for students and stakeholders.</w:t>
            </w:r>
          </w:p>
          <w:p w:rsidR="00B20AC4" w:rsidRDefault="00B20AC4" w:rsidP="00B20AC4">
            <w:pPr>
              <w:pStyle w:val="NoSpacing"/>
              <w:ind w:left="330" w:hanging="180"/>
            </w:pPr>
          </w:p>
          <w:p w:rsidR="00B20AC4" w:rsidRDefault="00B20AC4" w:rsidP="00B20AC4">
            <w:pPr>
              <w:pStyle w:val="NoSpacing"/>
              <w:numPr>
                <w:ilvl w:val="0"/>
                <w:numId w:val="3"/>
              </w:numPr>
              <w:ind w:left="330" w:hanging="180"/>
            </w:pPr>
            <w:r>
              <w:t>Due diligence is being shown that the pathway is truly a pathway and not a dead-end for students.</w:t>
            </w:r>
          </w:p>
          <w:p w:rsidR="00B20AC4" w:rsidRDefault="00B20AC4" w:rsidP="00B20AC4">
            <w:pPr>
              <w:pStyle w:val="NoSpacing"/>
            </w:pPr>
          </w:p>
          <w:p w:rsidR="00B20AC4" w:rsidRDefault="00B20AC4" w:rsidP="00B20AC4">
            <w:pPr>
              <w:pStyle w:val="NoSpacing"/>
              <w:numPr>
                <w:ilvl w:val="0"/>
                <w:numId w:val="3"/>
              </w:numPr>
              <w:ind w:left="330" w:hanging="180"/>
            </w:pPr>
            <w:r>
              <w:t>Pathway documentation allows for terminal certificates that provide skill building for incumbent workers.</w:t>
            </w:r>
          </w:p>
          <w:p w:rsidR="00543B0F" w:rsidRDefault="00543B0F" w:rsidP="00543B0F">
            <w:pPr>
              <w:pStyle w:val="NoSpacing"/>
            </w:pPr>
          </w:p>
          <w:p w:rsidR="00543B0F" w:rsidRDefault="00543B0F" w:rsidP="00543B0F">
            <w:pPr>
              <w:pStyle w:val="NoSpacing"/>
            </w:pPr>
          </w:p>
        </w:tc>
        <w:tc>
          <w:tcPr>
            <w:tcW w:w="5400" w:type="dxa"/>
          </w:tcPr>
          <w:p w:rsidR="00543B0F" w:rsidRDefault="00543B0F" w:rsidP="00543B0F">
            <w:pPr>
              <w:pStyle w:val="NoSpacing"/>
            </w:pPr>
          </w:p>
          <w:p w:rsidR="000B0841" w:rsidRDefault="00C2196C" w:rsidP="005D2860">
            <w:pPr>
              <w:pStyle w:val="NoSpacing"/>
            </w:pPr>
            <w:r>
              <w:t xml:space="preserve">Colleges will use a </w:t>
            </w:r>
            <w:r w:rsidR="004B5AFF">
              <w:t>pre-designed schematic</w:t>
            </w:r>
            <w:r>
              <w:t xml:space="preserve"> to show the structure of the program.  A user friendly tool will be provided and embedded in the application form.  Instructions and further technical assistance will be provided.  </w:t>
            </w:r>
            <w:r w:rsidR="005D2860">
              <w:t>The f</w:t>
            </w:r>
            <w:r>
              <w:t xml:space="preserve">lowchart diagram will be similar to the Washington Career Pathway tool many of the colleges are already using.  </w:t>
            </w:r>
          </w:p>
          <w:p w:rsidR="005D2860" w:rsidRDefault="005D2860" w:rsidP="005D2860">
            <w:pPr>
              <w:pStyle w:val="NoSpacing"/>
            </w:pPr>
          </w:p>
          <w:p w:rsidR="005D2860" w:rsidRDefault="005D2860" w:rsidP="005D2860">
            <w:pPr>
              <w:pStyle w:val="NoSpacing"/>
            </w:pPr>
            <w:r>
              <w:t>Colleges will be asked to illustrate</w:t>
            </w:r>
            <w:r w:rsidR="004D07BB">
              <w:t>:</w:t>
            </w:r>
            <w:r>
              <w:t xml:space="preserve"> </w:t>
            </w:r>
          </w:p>
          <w:p w:rsidR="005D2860" w:rsidRDefault="005D2860" w:rsidP="00526304">
            <w:pPr>
              <w:pStyle w:val="NoSpacing"/>
              <w:numPr>
                <w:ilvl w:val="0"/>
                <w:numId w:val="4"/>
              </w:numPr>
            </w:pPr>
            <w:r>
              <w:t>The primary program and options.</w:t>
            </w:r>
          </w:p>
          <w:p w:rsidR="005D2860" w:rsidRDefault="005D2860" w:rsidP="00526304">
            <w:pPr>
              <w:pStyle w:val="NoSpacing"/>
              <w:numPr>
                <w:ilvl w:val="0"/>
                <w:numId w:val="4"/>
              </w:numPr>
            </w:pPr>
            <w:r>
              <w:t>Student entry and exit points</w:t>
            </w:r>
          </w:p>
          <w:p w:rsidR="00526304" w:rsidRDefault="00526304" w:rsidP="00526304">
            <w:pPr>
              <w:pStyle w:val="NoSpacing"/>
              <w:numPr>
                <w:ilvl w:val="0"/>
                <w:numId w:val="4"/>
              </w:numPr>
            </w:pPr>
            <w:r>
              <w:t xml:space="preserve">I-BEST programs that are a part of the program pathway.  </w:t>
            </w:r>
          </w:p>
          <w:p w:rsidR="00A30383" w:rsidRDefault="00A30383" w:rsidP="00526304">
            <w:pPr>
              <w:pStyle w:val="NoSpacing"/>
              <w:numPr>
                <w:ilvl w:val="0"/>
                <w:numId w:val="4"/>
              </w:numPr>
            </w:pPr>
            <w:r>
              <w:t>Advanced degree options (as appropriate).</w:t>
            </w:r>
          </w:p>
          <w:p w:rsidR="005D2860" w:rsidRDefault="00BE3F5E" w:rsidP="00526304">
            <w:pPr>
              <w:pStyle w:val="NoSpacing"/>
              <w:numPr>
                <w:ilvl w:val="0"/>
                <w:numId w:val="4"/>
              </w:numPr>
            </w:pPr>
            <w:r>
              <w:t>Where</w:t>
            </w:r>
            <w:r w:rsidR="005D2860">
              <w:t xml:space="preserve"> college and external credentials may be awarded.</w:t>
            </w:r>
            <w:r w:rsidR="00C42B48">
              <w:t xml:space="preserve"> (</w:t>
            </w:r>
            <w:proofErr w:type="gramStart"/>
            <w:r w:rsidR="00C42B48">
              <w:t>badges</w:t>
            </w:r>
            <w:proofErr w:type="gramEnd"/>
            <w:r w:rsidR="00C42B48">
              <w:t>, industry/professional certifications, licenses, etc.)</w:t>
            </w:r>
          </w:p>
          <w:p w:rsidR="005D2860" w:rsidRDefault="005D2860" w:rsidP="005D2860">
            <w:pPr>
              <w:pStyle w:val="NoSpacing"/>
            </w:pPr>
          </w:p>
          <w:p w:rsidR="005D2860" w:rsidRDefault="005D2860" w:rsidP="005D2860">
            <w:pPr>
              <w:pStyle w:val="NoSpacing"/>
            </w:pPr>
            <w:r>
              <w:t>Colleges will provide a narrative describing</w:t>
            </w:r>
            <w:r w:rsidR="004D07BB">
              <w:t>:</w:t>
            </w:r>
            <w:r>
              <w:t xml:space="preserve"> </w:t>
            </w:r>
          </w:p>
          <w:p w:rsidR="005D2860" w:rsidRDefault="005D2860" w:rsidP="00526304">
            <w:pPr>
              <w:pStyle w:val="NoSpacing"/>
              <w:numPr>
                <w:ilvl w:val="0"/>
                <w:numId w:val="4"/>
              </w:numPr>
            </w:pPr>
            <w:r>
              <w:t xml:space="preserve">Prerequisites and a description of preparation needed </w:t>
            </w:r>
            <w:r w:rsidR="004D07BB">
              <w:t>prior to enrollment in the</w:t>
            </w:r>
            <w:r>
              <w:t xml:space="preserve"> program.</w:t>
            </w:r>
          </w:p>
          <w:p w:rsidR="005D2860" w:rsidRDefault="004D07BB" w:rsidP="00526304">
            <w:pPr>
              <w:pStyle w:val="NoSpacing"/>
              <w:numPr>
                <w:ilvl w:val="0"/>
                <w:numId w:val="4"/>
              </w:numPr>
            </w:pPr>
            <w:r>
              <w:t>Certification or licensure requirements.</w:t>
            </w:r>
          </w:p>
          <w:p w:rsidR="00BC5965" w:rsidRDefault="00BC5965" w:rsidP="00BC5965">
            <w:pPr>
              <w:pStyle w:val="NoSpacing"/>
            </w:pPr>
          </w:p>
          <w:p w:rsidR="00BC5965" w:rsidRDefault="00BC5965" w:rsidP="00BC5965">
            <w:pPr>
              <w:pStyle w:val="NoSpacing"/>
            </w:pPr>
            <w:r>
              <w:t>Academic Transfer Program –</w:t>
            </w:r>
          </w:p>
          <w:p w:rsidR="00BC5965" w:rsidRDefault="00BC5965" w:rsidP="009823B9">
            <w:pPr>
              <w:pStyle w:val="NoSpacing"/>
              <w:ind w:left="451"/>
            </w:pPr>
            <w:r>
              <w:t>Attach curriculum guide.</w:t>
            </w:r>
            <w:r w:rsidR="009823B9">
              <w:t xml:space="preserve"> -  A list of courses that follow established criteria for existing DTAs and MRPs</w:t>
            </w:r>
            <w:r w:rsidR="00BE3F5E">
              <w:t>. (Example provided in guidance)</w:t>
            </w:r>
          </w:p>
          <w:p w:rsidR="004D07BB" w:rsidRDefault="004D07BB" w:rsidP="004D07BB">
            <w:pPr>
              <w:pStyle w:val="NoSpacing"/>
              <w:ind w:left="720"/>
            </w:pPr>
          </w:p>
        </w:tc>
        <w:tc>
          <w:tcPr>
            <w:tcW w:w="2610" w:type="dxa"/>
          </w:tcPr>
          <w:p w:rsidR="00543B0F" w:rsidRDefault="00543B0F" w:rsidP="00543B0F">
            <w:pPr>
              <w:pStyle w:val="NoSpacing"/>
            </w:pPr>
          </w:p>
          <w:p w:rsidR="000B0841" w:rsidRDefault="004D07BB" w:rsidP="00543B0F">
            <w:pPr>
              <w:pStyle w:val="NoSpacing"/>
            </w:pPr>
            <w:r>
              <w:t>Flow chart is complete and clearly represents the program</w:t>
            </w:r>
            <w:r w:rsidR="00A30383">
              <w:t xml:space="preserve"> pathway</w:t>
            </w:r>
            <w:bookmarkStart w:id="0" w:name="_GoBack"/>
            <w:bookmarkEnd w:id="0"/>
            <w:r>
              <w:t>.</w:t>
            </w:r>
          </w:p>
          <w:p w:rsidR="004D07BB" w:rsidRDefault="004D07BB" w:rsidP="00543B0F">
            <w:pPr>
              <w:pStyle w:val="NoSpacing"/>
            </w:pPr>
          </w:p>
          <w:p w:rsidR="004D07BB" w:rsidRDefault="004D07BB" w:rsidP="00543B0F">
            <w:pPr>
              <w:pStyle w:val="NoSpacing"/>
            </w:pPr>
            <w:r>
              <w:t>Entry and exit points are clearly identified</w:t>
            </w:r>
          </w:p>
          <w:p w:rsidR="004D07BB" w:rsidRDefault="004D07BB" w:rsidP="00543B0F">
            <w:pPr>
              <w:pStyle w:val="NoSpacing"/>
            </w:pPr>
          </w:p>
          <w:p w:rsidR="004D07BB" w:rsidRDefault="004D07BB" w:rsidP="00543B0F">
            <w:pPr>
              <w:pStyle w:val="NoSpacing"/>
            </w:pPr>
            <w:r>
              <w:t xml:space="preserve">Credentials are identified on the flowchart and descriptions are included in the narrative.  </w:t>
            </w:r>
          </w:p>
          <w:p w:rsidR="004D07BB" w:rsidRDefault="004D07BB" w:rsidP="00543B0F">
            <w:pPr>
              <w:pStyle w:val="NoSpacing"/>
            </w:pPr>
          </w:p>
          <w:p w:rsidR="004D07BB" w:rsidRDefault="004D07BB" w:rsidP="00543B0F">
            <w:pPr>
              <w:pStyle w:val="NoSpacing"/>
            </w:pPr>
            <w:r>
              <w:t>Narrative includes a clear and complete description of needed preparation.</w:t>
            </w:r>
          </w:p>
          <w:p w:rsidR="004D07BB" w:rsidRDefault="004D07BB" w:rsidP="00543B0F">
            <w:pPr>
              <w:pStyle w:val="NoSpacing"/>
            </w:pPr>
          </w:p>
          <w:p w:rsidR="004D07BB" w:rsidRDefault="004D07BB" w:rsidP="004D07BB">
            <w:pPr>
              <w:pStyle w:val="NoSpacing"/>
            </w:pPr>
            <w:r>
              <w:t>College has indicated if one or more I-BEST programs are a part of this program pathway.</w:t>
            </w:r>
          </w:p>
        </w:tc>
        <w:tc>
          <w:tcPr>
            <w:tcW w:w="2358" w:type="dxa"/>
          </w:tcPr>
          <w:p w:rsidR="00543B0F" w:rsidRDefault="00543B0F" w:rsidP="00543B0F">
            <w:pPr>
              <w:pStyle w:val="NoSpacing"/>
            </w:pPr>
          </w:p>
          <w:p w:rsidR="000B0841" w:rsidRDefault="000B0841" w:rsidP="00543B0F">
            <w:pPr>
              <w:pStyle w:val="NoSpacing"/>
            </w:pPr>
            <w:r>
              <w:t>Academic Transfer</w:t>
            </w:r>
          </w:p>
          <w:p w:rsidR="000B0841" w:rsidRDefault="000B0841" w:rsidP="00543B0F">
            <w:pPr>
              <w:pStyle w:val="NoSpacing"/>
            </w:pPr>
            <w:r>
              <w:t>Professional/Technical</w:t>
            </w:r>
          </w:p>
          <w:p w:rsidR="000B0841" w:rsidRDefault="000B0841" w:rsidP="00543B0F">
            <w:pPr>
              <w:pStyle w:val="NoSpacing"/>
            </w:pPr>
            <w:r>
              <w:t>I-BEST</w:t>
            </w:r>
          </w:p>
        </w:tc>
      </w:tr>
    </w:tbl>
    <w:p w:rsidR="00543B0F" w:rsidRPr="00543B0F" w:rsidRDefault="00543B0F" w:rsidP="00543B0F">
      <w:pPr>
        <w:pStyle w:val="NoSpacing"/>
      </w:pPr>
    </w:p>
    <w:sectPr w:rsidR="00543B0F" w:rsidRPr="00543B0F" w:rsidSect="00183C30">
      <w:pgSz w:w="15840" w:h="12240" w:orient="landscape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CD6"/>
    <w:multiLevelType w:val="hybridMultilevel"/>
    <w:tmpl w:val="47B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68CB"/>
    <w:multiLevelType w:val="hybridMultilevel"/>
    <w:tmpl w:val="23DC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3399D"/>
    <w:multiLevelType w:val="hybridMultilevel"/>
    <w:tmpl w:val="087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D21BB"/>
    <w:multiLevelType w:val="hybridMultilevel"/>
    <w:tmpl w:val="8118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6832"/>
    <w:multiLevelType w:val="hybridMultilevel"/>
    <w:tmpl w:val="3A7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70DC6"/>
    <w:multiLevelType w:val="hybridMultilevel"/>
    <w:tmpl w:val="0CC2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0F"/>
    <w:rsid w:val="000B0841"/>
    <w:rsid w:val="00183C30"/>
    <w:rsid w:val="004B5AFF"/>
    <w:rsid w:val="004D07BB"/>
    <w:rsid w:val="00526304"/>
    <w:rsid w:val="00533499"/>
    <w:rsid w:val="00543B0F"/>
    <w:rsid w:val="00565641"/>
    <w:rsid w:val="005D2860"/>
    <w:rsid w:val="00940406"/>
    <w:rsid w:val="009823B9"/>
    <w:rsid w:val="00A30383"/>
    <w:rsid w:val="00B20AC4"/>
    <w:rsid w:val="00BC5965"/>
    <w:rsid w:val="00BE3F5E"/>
    <w:rsid w:val="00C2196C"/>
    <w:rsid w:val="00C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CCAE"/>
  <w15:chartTrackingRefBased/>
  <w15:docId w15:val="{AC1D1940-1024-462D-977E-FFE0BD4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0F"/>
  </w:style>
  <w:style w:type="paragraph" w:styleId="Heading1">
    <w:name w:val="heading 1"/>
    <w:basedOn w:val="Normal"/>
    <w:next w:val="Normal"/>
    <w:link w:val="Heading1Char"/>
    <w:uiPriority w:val="9"/>
    <w:qFormat/>
    <w:rsid w:val="00543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B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43B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4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Goebel</dc:creator>
  <cp:keywords/>
  <dc:description/>
  <cp:lastModifiedBy>Kathy Goebel</cp:lastModifiedBy>
  <cp:revision>2</cp:revision>
  <dcterms:created xsi:type="dcterms:W3CDTF">2018-02-22T20:35:00Z</dcterms:created>
  <dcterms:modified xsi:type="dcterms:W3CDTF">2018-02-22T20:35:00Z</dcterms:modified>
</cp:coreProperties>
</file>