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C71" w:rsidRPr="00894F50" w:rsidRDefault="00ED15B2" w:rsidP="00253B34">
      <w:pPr>
        <w:pStyle w:val="Heading1"/>
        <w:jc w:val="center"/>
        <w:rPr>
          <w:b/>
          <w:sz w:val="40"/>
          <w:szCs w:val="40"/>
        </w:rPr>
      </w:pPr>
      <w:r>
        <w:rPr>
          <w:b/>
          <w:sz w:val="40"/>
          <w:szCs w:val="40"/>
        </w:rPr>
        <w:t>Program Approval Recommendations</w:t>
      </w:r>
    </w:p>
    <w:p w:rsidR="00FA2FFF" w:rsidRDefault="00FA2FFF" w:rsidP="00FA2FFF"/>
    <w:p w:rsidR="007876A0" w:rsidRPr="00FA2FFF" w:rsidRDefault="007876A0" w:rsidP="00FA2FFF"/>
    <w:p w:rsidR="00FA2FFF" w:rsidRPr="00CB0702" w:rsidRDefault="00FA2FFF" w:rsidP="00FA2FFF">
      <w:pPr>
        <w:pStyle w:val="Heading2"/>
        <w:rPr>
          <w:b/>
        </w:rPr>
      </w:pPr>
      <w:r w:rsidRPr="00CB0702">
        <w:rPr>
          <w:b/>
        </w:rPr>
        <w:t>Changes to the program approval process are being proposed.</w:t>
      </w:r>
    </w:p>
    <w:p w:rsidR="000C46E4" w:rsidRDefault="00323D2D" w:rsidP="008407E4">
      <w:pPr>
        <w:rPr>
          <w:sz w:val="24"/>
          <w:szCs w:val="24"/>
        </w:rPr>
      </w:pPr>
      <w:r w:rsidRPr="000C46E4">
        <w:rPr>
          <w:sz w:val="24"/>
          <w:szCs w:val="24"/>
        </w:rPr>
        <w:t>The</w:t>
      </w:r>
      <w:r w:rsidR="00DF71BB" w:rsidRPr="000C46E4">
        <w:rPr>
          <w:sz w:val="24"/>
          <w:szCs w:val="24"/>
        </w:rPr>
        <w:t xml:space="preserve"> Program Approval Task Force representing various commissions and councils </w:t>
      </w:r>
      <w:r w:rsidRPr="000C46E4">
        <w:rPr>
          <w:sz w:val="24"/>
          <w:szCs w:val="24"/>
        </w:rPr>
        <w:t>came together last spring, 2017</w:t>
      </w:r>
      <w:r w:rsidR="00DF71BB" w:rsidRPr="000C46E4">
        <w:rPr>
          <w:sz w:val="24"/>
          <w:szCs w:val="24"/>
        </w:rPr>
        <w:t xml:space="preserve"> to </w:t>
      </w:r>
      <w:r w:rsidR="008407E4">
        <w:rPr>
          <w:sz w:val="24"/>
          <w:szCs w:val="24"/>
        </w:rPr>
        <w:t>develop recommendations for</w:t>
      </w:r>
      <w:r w:rsidR="00DF71BB" w:rsidRPr="000C46E4">
        <w:rPr>
          <w:sz w:val="24"/>
          <w:szCs w:val="24"/>
        </w:rPr>
        <w:t xml:space="preserve"> a more meaningful and accessible program approval process and inventory of programs.</w:t>
      </w:r>
      <w:r w:rsidRPr="000C46E4">
        <w:rPr>
          <w:sz w:val="24"/>
          <w:szCs w:val="24"/>
        </w:rPr>
        <w:t xml:space="preserve">  </w:t>
      </w:r>
      <w:r w:rsidR="005E4318">
        <w:rPr>
          <w:sz w:val="24"/>
          <w:szCs w:val="24"/>
        </w:rPr>
        <w:t xml:space="preserve">A summary of their recommendations are contained in this document.  </w:t>
      </w:r>
    </w:p>
    <w:p w:rsidR="008407E4" w:rsidRPr="008407E4" w:rsidRDefault="008407E4" w:rsidP="008407E4">
      <w:pPr>
        <w:rPr>
          <w:sz w:val="24"/>
          <w:szCs w:val="24"/>
        </w:rPr>
      </w:pPr>
    </w:p>
    <w:p w:rsidR="00C0597A" w:rsidRPr="00CB0702" w:rsidRDefault="00C0597A" w:rsidP="00DF71BB">
      <w:pPr>
        <w:pStyle w:val="Heading2"/>
        <w:rPr>
          <w:b/>
        </w:rPr>
      </w:pPr>
      <w:r w:rsidRPr="00CB0702">
        <w:rPr>
          <w:b/>
        </w:rPr>
        <w:t>This document contains</w:t>
      </w:r>
    </w:p>
    <w:p w:rsidR="00323D2D" w:rsidRPr="000C46E4" w:rsidRDefault="00CA41B4" w:rsidP="00C0597A">
      <w:pPr>
        <w:pStyle w:val="ListParagraph"/>
        <w:numPr>
          <w:ilvl w:val="0"/>
          <w:numId w:val="1"/>
        </w:numPr>
        <w:rPr>
          <w:sz w:val="24"/>
          <w:szCs w:val="24"/>
        </w:rPr>
      </w:pPr>
      <w:r w:rsidRPr="000C46E4">
        <w:rPr>
          <w:sz w:val="24"/>
          <w:szCs w:val="24"/>
        </w:rPr>
        <w:t>New</w:t>
      </w:r>
      <w:r w:rsidR="00323D2D" w:rsidRPr="000C46E4">
        <w:rPr>
          <w:sz w:val="24"/>
          <w:szCs w:val="24"/>
        </w:rPr>
        <w:t xml:space="preserve"> features of the proposed approval process</w:t>
      </w:r>
    </w:p>
    <w:p w:rsidR="00C0597A" w:rsidRPr="000C46E4" w:rsidRDefault="00C0597A" w:rsidP="00C0597A">
      <w:pPr>
        <w:pStyle w:val="ListParagraph"/>
        <w:numPr>
          <w:ilvl w:val="0"/>
          <w:numId w:val="1"/>
        </w:numPr>
        <w:rPr>
          <w:sz w:val="24"/>
          <w:szCs w:val="24"/>
        </w:rPr>
      </w:pPr>
      <w:r w:rsidRPr="000C46E4">
        <w:rPr>
          <w:sz w:val="24"/>
          <w:szCs w:val="24"/>
        </w:rPr>
        <w:t>A summary of all recommendations</w:t>
      </w:r>
    </w:p>
    <w:p w:rsidR="00C0597A" w:rsidRPr="000C46E4" w:rsidRDefault="00C0597A" w:rsidP="00C0597A">
      <w:pPr>
        <w:pStyle w:val="ListParagraph"/>
        <w:numPr>
          <w:ilvl w:val="0"/>
          <w:numId w:val="1"/>
        </w:numPr>
        <w:rPr>
          <w:sz w:val="24"/>
          <w:szCs w:val="24"/>
        </w:rPr>
      </w:pPr>
      <w:r w:rsidRPr="000C46E4">
        <w:rPr>
          <w:sz w:val="24"/>
          <w:szCs w:val="24"/>
        </w:rPr>
        <w:t>Background on the Program Approval Task Force’s activities</w:t>
      </w:r>
    </w:p>
    <w:p w:rsidR="00FA2FFF" w:rsidRPr="000C46E4" w:rsidRDefault="00C0597A" w:rsidP="00FA2FFF">
      <w:pPr>
        <w:pStyle w:val="ListParagraph"/>
        <w:numPr>
          <w:ilvl w:val="0"/>
          <w:numId w:val="1"/>
        </w:numPr>
        <w:rPr>
          <w:sz w:val="24"/>
          <w:szCs w:val="24"/>
        </w:rPr>
      </w:pPr>
      <w:r w:rsidRPr="000C46E4">
        <w:rPr>
          <w:sz w:val="24"/>
          <w:szCs w:val="24"/>
        </w:rPr>
        <w:t>A timeline for approval and implementation</w:t>
      </w:r>
    </w:p>
    <w:p w:rsidR="000C46E4" w:rsidRDefault="000C46E4" w:rsidP="00DF71BB">
      <w:pPr>
        <w:pStyle w:val="Heading2"/>
        <w:rPr>
          <w:b/>
        </w:rPr>
      </w:pPr>
    </w:p>
    <w:p w:rsidR="00323D2D" w:rsidRPr="00CB0702" w:rsidRDefault="00CA41B4" w:rsidP="00DF71BB">
      <w:pPr>
        <w:pStyle w:val="Heading2"/>
        <w:rPr>
          <w:b/>
        </w:rPr>
      </w:pPr>
      <w:r w:rsidRPr="00CB0702">
        <w:rPr>
          <w:b/>
        </w:rPr>
        <w:t>New</w:t>
      </w:r>
      <w:r w:rsidR="00323D2D" w:rsidRPr="00CB0702">
        <w:rPr>
          <w:b/>
        </w:rPr>
        <w:t xml:space="preserve"> features</w:t>
      </w:r>
      <w:r w:rsidR="00CB0702" w:rsidRPr="00CB0702">
        <w:rPr>
          <w:b/>
        </w:rPr>
        <w:t>!</w:t>
      </w:r>
    </w:p>
    <w:p w:rsidR="00323D2D" w:rsidRPr="000C46E4" w:rsidRDefault="00323D2D" w:rsidP="00323D2D">
      <w:pPr>
        <w:pStyle w:val="ListParagraph"/>
        <w:numPr>
          <w:ilvl w:val="0"/>
          <w:numId w:val="3"/>
        </w:numPr>
        <w:rPr>
          <w:sz w:val="24"/>
          <w:szCs w:val="24"/>
        </w:rPr>
      </w:pPr>
      <w:r w:rsidRPr="000C46E4">
        <w:rPr>
          <w:sz w:val="24"/>
          <w:szCs w:val="24"/>
        </w:rPr>
        <w:t>One application for all programs that can be customized</w:t>
      </w:r>
      <w:r w:rsidR="00BF5582">
        <w:rPr>
          <w:sz w:val="24"/>
          <w:szCs w:val="24"/>
        </w:rPr>
        <w:t>.</w:t>
      </w:r>
      <w:r w:rsidRPr="000C46E4">
        <w:rPr>
          <w:sz w:val="24"/>
          <w:szCs w:val="24"/>
        </w:rPr>
        <w:t xml:space="preserve"> </w:t>
      </w:r>
    </w:p>
    <w:p w:rsidR="00CA41B4" w:rsidRPr="000C46E4" w:rsidRDefault="0041048B" w:rsidP="00CA41B4">
      <w:pPr>
        <w:pStyle w:val="ListParagraph"/>
        <w:numPr>
          <w:ilvl w:val="0"/>
          <w:numId w:val="3"/>
        </w:numPr>
        <w:rPr>
          <w:sz w:val="24"/>
          <w:szCs w:val="24"/>
        </w:rPr>
      </w:pPr>
      <w:r>
        <w:rPr>
          <w:sz w:val="24"/>
          <w:szCs w:val="24"/>
        </w:rPr>
        <w:t>Electronic</w:t>
      </w:r>
      <w:r w:rsidR="00CA41B4" w:rsidRPr="000C46E4">
        <w:rPr>
          <w:sz w:val="24"/>
          <w:szCs w:val="24"/>
        </w:rPr>
        <w:t xml:space="preserve"> </w:t>
      </w:r>
      <w:r w:rsidR="00CB0702" w:rsidRPr="000C46E4">
        <w:rPr>
          <w:sz w:val="24"/>
          <w:szCs w:val="24"/>
        </w:rPr>
        <w:t>application</w:t>
      </w:r>
      <w:r>
        <w:rPr>
          <w:sz w:val="24"/>
          <w:szCs w:val="24"/>
        </w:rPr>
        <w:t xml:space="preserve"> with embedded</w:t>
      </w:r>
      <w:r w:rsidR="00BF5582">
        <w:rPr>
          <w:sz w:val="24"/>
          <w:szCs w:val="24"/>
        </w:rPr>
        <w:t xml:space="preserve"> features such as</w:t>
      </w:r>
      <w:r>
        <w:rPr>
          <w:sz w:val="24"/>
          <w:szCs w:val="24"/>
        </w:rPr>
        <w:t xml:space="preserve"> menus, calculations</w:t>
      </w:r>
      <w:r w:rsidR="00BF5582">
        <w:rPr>
          <w:sz w:val="24"/>
          <w:szCs w:val="24"/>
        </w:rPr>
        <w:t xml:space="preserve"> &amp; textboxes.</w:t>
      </w:r>
      <w:r>
        <w:rPr>
          <w:sz w:val="24"/>
          <w:szCs w:val="24"/>
        </w:rPr>
        <w:t xml:space="preserve"> </w:t>
      </w:r>
    </w:p>
    <w:p w:rsidR="00323D2D" w:rsidRPr="000C46E4" w:rsidRDefault="00323D2D" w:rsidP="00323D2D">
      <w:pPr>
        <w:pStyle w:val="ListParagraph"/>
        <w:numPr>
          <w:ilvl w:val="0"/>
          <w:numId w:val="3"/>
        </w:numPr>
        <w:rPr>
          <w:sz w:val="24"/>
          <w:szCs w:val="24"/>
        </w:rPr>
      </w:pPr>
      <w:r w:rsidRPr="000C46E4">
        <w:rPr>
          <w:sz w:val="24"/>
          <w:szCs w:val="24"/>
        </w:rPr>
        <w:t>Program pathways are no longer narrative, but depicted</w:t>
      </w:r>
      <w:r w:rsidR="00CB0702" w:rsidRPr="000C46E4">
        <w:rPr>
          <w:sz w:val="24"/>
          <w:szCs w:val="24"/>
        </w:rPr>
        <w:t xml:space="preserve"> as</w:t>
      </w:r>
      <w:r w:rsidRPr="000C46E4">
        <w:rPr>
          <w:sz w:val="24"/>
          <w:szCs w:val="24"/>
        </w:rPr>
        <w:t xml:space="preserve"> a </w:t>
      </w:r>
      <w:r w:rsidR="00826B38">
        <w:rPr>
          <w:sz w:val="24"/>
          <w:szCs w:val="24"/>
        </w:rPr>
        <w:t>graphic diagram</w:t>
      </w:r>
      <w:r w:rsidR="00686DC3">
        <w:rPr>
          <w:sz w:val="24"/>
          <w:szCs w:val="24"/>
        </w:rPr>
        <w:t>.</w:t>
      </w:r>
    </w:p>
    <w:p w:rsidR="00323D2D" w:rsidRPr="000C46E4" w:rsidRDefault="00323D2D" w:rsidP="00323D2D">
      <w:pPr>
        <w:pStyle w:val="ListParagraph"/>
        <w:numPr>
          <w:ilvl w:val="0"/>
          <w:numId w:val="3"/>
        </w:numPr>
        <w:rPr>
          <w:sz w:val="24"/>
          <w:szCs w:val="24"/>
        </w:rPr>
      </w:pPr>
      <w:r w:rsidRPr="000C46E4">
        <w:rPr>
          <w:sz w:val="24"/>
          <w:szCs w:val="24"/>
        </w:rPr>
        <w:t xml:space="preserve">Certificates that are between </w:t>
      </w:r>
      <w:r w:rsidR="00664528" w:rsidRPr="000C46E4">
        <w:rPr>
          <w:sz w:val="24"/>
          <w:szCs w:val="24"/>
        </w:rPr>
        <w:t>1</w:t>
      </w:r>
      <w:r w:rsidRPr="000C46E4">
        <w:rPr>
          <w:sz w:val="24"/>
          <w:szCs w:val="24"/>
        </w:rPr>
        <w:t xml:space="preserve"> and 44 credits </w:t>
      </w:r>
      <w:r w:rsidR="00CB0702" w:rsidRPr="000C46E4">
        <w:rPr>
          <w:sz w:val="24"/>
          <w:szCs w:val="24"/>
        </w:rPr>
        <w:t>follow</w:t>
      </w:r>
      <w:r w:rsidRPr="000C46E4">
        <w:rPr>
          <w:sz w:val="24"/>
          <w:szCs w:val="24"/>
        </w:rPr>
        <w:t xml:space="preserve"> an expedited approval process.</w:t>
      </w:r>
    </w:p>
    <w:p w:rsidR="00323D2D" w:rsidRPr="000C46E4" w:rsidRDefault="00B7343E" w:rsidP="00323D2D">
      <w:pPr>
        <w:pStyle w:val="ListParagraph"/>
        <w:numPr>
          <w:ilvl w:val="0"/>
          <w:numId w:val="3"/>
        </w:numPr>
        <w:rPr>
          <w:sz w:val="24"/>
          <w:szCs w:val="24"/>
        </w:rPr>
      </w:pPr>
      <w:r w:rsidRPr="000C46E4">
        <w:rPr>
          <w:sz w:val="24"/>
          <w:szCs w:val="24"/>
        </w:rPr>
        <w:t>Inter-college communications are enhanced</w:t>
      </w:r>
      <w:r w:rsidR="00BF5582">
        <w:rPr>
          <w:sz w:val="24"/>
          <w:szCs w:val="24"/>
        </w:rPr>
        <w:t>.</w:t>
      </w:r>
    </w:p>
    <w:p w:rsidR="00B7343E" w:rsidRPr="000C46E4" w:rsidRDefault="00B7343E" w:rsidP="00323D2D">
      <w:pPr>
        <w:pStyle w:val="ListParagraph"/>
        <w:numPr>
          <w:ilvl w:val="0"/>
          <w:numId w:val="3"/>
        </w:numPr>
        <w:rPr>
          <w:sz w:val="24"/>
          <w:szCs w:val="24"/>
        </w:rPr>
      </w:pPr>
      <w:r w:rsidRPr="000C46E4">
        <w:rPr>
          <w:sz w:val="24"/>
          <w:szCs w:val="24"/>
        </w:rPr>
        <w:t xml:space="preserve">Tools </w:t>
      </w:r>
      <w:r w:rsidR="00BF5582">
        <w:rPr>
          <w:sz w:val="24"/>
          <w:szCs w:val="24"/>
        </w:rPr>
        <w:t>and</w:t>
      </w:r>
      <w:r w:rsidRPr="000C46E4">
        <w:rPr>
          <w:sz w:val="24"/>
          <w:szCs w:val="24"/>
        </w:rPr>
        <w:t xml:space="preserve"> resources for providing </w:t>
      </w:r>
      <w:r w:rsidR="00ED15B2">
        <w:rPr>
          <w:sz w:val="24"/>
          <w:szCs w:val="24"/>
        </w:rPr>
        <w:t xml:space="preserve">supply/demand and wage </w:t>
      </w:r>
      <w:r w:rsidR="00BF5582">
        <w:rPr>
          <w:sz w:val="24"/>
          <w:szCs w:val="24"/>
        </w:rPr>
        <w:t xml:space="preserve">data </w:t>
      </w:r>
      <w:r w:rsidRPr="000C46E4">
        <w:rPr>
          <w:sz w:val="24"/>
          <w:szCs w:val="24"/>
        </w:rPr>
        <w:t xml:space="preserve">will be </w:t>
      </w:r>
      <w:r w:rsidR="00BF5582">
        <w:rPr>
          <w:sz w:val="24"/>
          <w:szCs w:val="24"/>
        </w:rPr>
        <w:t>available</w:t>
      </w:r>
      <w:r w:rsidRPr="000C46E4">
        <w:rPr>
          <w:sz w:val="24"/>
          <w:szCs w:val="24"/>
        </w:rPr>
        <w:t>.</w:t>
      </w:r>
    </w:p>
    <w:p w:rsidR="00CA41B4" w:rsidRDefault="00CB0702" w:rsidP="00323D2D">
      <w:pPr>
        <w:pStyle w:val="ListParagraph"/>
        <w:numPr>
          <w:ilvl w:val="0"/>
          <w:numId w:val="3"/>
        </w:numPr>
        <w:rPr>
          <w:sz w:val="24"/>
          <w:szCs w:val="24"/>
        </w:rPr>
      </w:pPr>
      <w:r w:rsidRPr="000C46E4">
        <w:rPr>
          <w:sz w:val="24"/>
          <w:szCs w:val="24"/>
        </w:rPr>
        <w:t>Actual c</w:t>
      </w:r>
      <w:r w:rsidR="00CA41B4" w:rsidRPr="000C46E4">
        <w:rPr>
          <w:sz w:val="24"/>
          <w:szCs w:val="24"/>
        </w:rPr>
        <w:t>linical and work-based placements will be identified</w:t>
      </w:r>
      <w:r w:rsidRPr="000C46E4">
        <w:rPr>
          <w:sz w:val="24"/>
          <w:szCs w:val="24"/>
        </w:rPr>
        <w:t xml:space="preserve"> as part of the approval process.</w:t>
      </w:r>
    </w:p>
    <w:p w:rsidR="00ED15B2" w:rsidRDefault="008407E4" w:rsidP="00323D2D">
      <w:pPr>
        <w:pStyle w:val="ListParagraph"/>
        <w:numPr>
          <w:ilvl w:val="0"/>
          <w:numId w:val="3"/>
        </w:numPr>
        <w:rPr>
          <w:sz w:val="24"/>
          <w:szCs w:val="24"/>
        </w:rPr>
      </w:pPr>
      <w:r>
        <w:rPr>
          <w:sz w:val="24"/>
          <w:szCs w:val="24"/>
        </w:rPr>
        <w:t xml:space="preserve">The new program approval process guidelines will include </w:t>
      </w:r>
      <w:r w:rsidR="005E4318">
        <w:rPr>
          <w:sz w:val="24"/>
          <w:szCs w:val="24"/>
        </w:rPr>
        <w:t>a link to</w:t>
      </w:r>
      <w:r>
        <w:rPr>
          <w:sz w:val="24"/>
          <w:szCs w:val="24"/>
        </w:rPr>
        <w:t xml:space="preserve"> NWCCU’s required information for submitting a minor substantive change.  Where possible, the program approval template sections will be designed to align with NWCCU required information</w:t>
      </w:r>
      <w:r w:rsidR="005E4318">
        <w:rPr>
          <w:sz w:val="24"/>
          <w:szCs w:val="24"/>
        </w:rPr>
        <w:t xml:space="preserve"> to reduce duplicative work</w:t>
      </w:r>
      <w:r>
        <w:rPr>
          <w:sz w:val="24"/>
          <w:szCs w:val="24"/>
        </w:rPr>
        <w:t xml:space="preserve">.   </w:t>
      </w:r>
    </w:p>
    <w:p w:rsidR="000C46E4" w:rsidRDefault="000C46E4" w:rsidP="000C46E4">
      <w:pPr>
        <w:rPr>
          <w:sz w:val="24"/>
          <w:szCs w:val="24"/>
        </w:rPr>
      </w:pPr>
    </w:p>
    <w:p w:rsidR="000C46E4" w:rsidRDefault="000C46E4" w:rsidP="000C46E4">
      <w:pPr>
        <w:rPr>
          <w:sz w:val="24"/>
          <w:szCs w:val="24"/>
        </w:rPr>
      </w:pPr>
    </w:p>
    <w:p w:rsidR="000C46E4" w:rsidRDefault="000C46E4" w:rsidP="000C46E4">
      <w:pPr>
        <w:rPr>
          <w:sz w:val="24"/>
          <w:szCs w:val="24"/>
        </w:rPr>
      </w:pPr>
    </w:p>
    <w:p w:rsidR="000C46E4" w:rsidRPr="000C46E4" w:rsidRDefault="000C46E4" w:rsidP="000C46E4">
      <w:pPr>
        <w:rPr>
          <w:sz w:val="24"/>
          <w:szCs w:val="24"/>
        </w:rPr>
      </w:pPr>
    </w:p>
    <w:p w:rsidR="00664528" w:rsidRDefault="00DF71BB" w:rsidP="00664528">
      <w:pPr>
        <w:pStyle w:val="Heading2"/>
        <w:rPr>
          <w:b/>
        </w:rPr>
      </w:pPr>
      <w:r w:rsidRPr="00CB0702">
        <w:rPr>
          <w:b/>
        </w:rPr>
        <w:t>Recommendations Summary</w:t>
      </w:r>
      <w:r w:rsidR="000C46E4">
        <w:rPr>
          <w:b/>
        </w:rPr>
        <w:t xml:space="preserve"> </w:t>
      </w:r>
    </w:p>
    <w:p w:rsidR="000C46E4" w:rsidRPr="000C46E4" w:rsidRDefault="000C46E4" w:rsidP="000C46E4">
      <w:pPr>
        <w:pStyle w:val="NoSpacing"/>
        <w:rPr>
          <w:color w:val="FF0000"/>
        </w:rPr>
      </w:pPr>
      <w:r>
        <w:tab/>
        <w:t xml:space="preserve">Detailed information about each recommendation can be found at </w:t>
      </w:r>
      <w:hyperlink r:id="rId7" w:history="1">
        <w:r>
          <w:rPr>
            <w:rStyle w:val="Hyperlink"/>
          </w:rPr>
          <w:t>Program Approval Task Force</w:t>
        </w:r>
      </w:hyperlink>
    </w:p>
    <w:p w:rsidR="00DF71BB" w:rsidRPr="00664528" w:rsidRDefault="00DF71BB" w:rsidP="00664528">
      <w:pPr>
        <w:pStyle w:val="Heading2"/>
      </w:pPr>
      <w:r>
        <w:t xml:space="preserve">         </w:t>
      </w:r>
      <w:r w:rsidR="00323D2D">
        <w:tab/>
        <w:t xml:space="preserve">             </w:t>
      </w:r>
      <w:r>
        <w:t xml:space="preserve"> </w:t>
      </w:r>
      <w:r w:rsidR="00323D2D">
        <w:t xml:space="preserve">            </w:t>
      </w:r>
      <w:r>
        <w:t xml:space="preserve">                      </w:t>
      </w:r>
      <w:r w:rsidR="00323D2D">
        <w:t xml:space="preserve">        </w:t>
      </w:r>
    </w:p>
    <w:tbl>
      <w:tblPr>
        <w:tblStyle w:val="TableGrid"/>
        <w:tblW w:w="11070" w:type="dxa"/>
        <w:tblInd w:w="-905" w:type="dxa"/>
        <w:tblLook w:val="04A0" w:firstRow="1" w:lastRow="0" w:firstColumn="1" w:lastColumn="0" w:noHBand="0" w:noVBand="1"/>
      </w:tblPr>
      <w:tblGrid>
        <w:gridCol w:w="1658"/>
        <w:gridCol w:w="2772"/>
        <w:gridCol w:w="2590"/>
        <w:gridCol w:w="2526"/>
        <w:gridCol w:w="1524"/>
      </w:tblGrid>
      <w:tr w:rsidR="00664528" w:rsidTr="007876A0">
        <w:tc>
          <w:tcPr>
            <w:tcW w:w="1658" w:type="dxa"/>
            <w:shd w:val="clear" w:color="auto" w:fill="BDD6EE" w:themeFill="accent1" w:themeFillTint="66"/>
          </w:tcPr>
          <w:p w:rsidR="00664528" w:rsidRDefault="00664528" w:rsidP="00DF71BB">
            <w:pPr>
              <w:pStyle w:val="NoSpacing"/>
            </w:pPr>
            <w:r>
              <w:t xml:space="preserve">      Factor</w:t>
            </w:r>
            <w:r>
              <w:tab/>
            </w:r>
          </w:p>
        </w:tc>
        <w:tc>
          <w:tcPr>
            <w:tcW w:w="2772" w:type="dxa"/>
            <w:shd w:val="clear" w:color="auto" w:fill="BDD6EE" w:themeFill="accent1" w:themeFillTint="66"/>
          </w:tcPr>
          <w:p w:rsidR="00664528" w:rsidRDefault="00664528" w:rsidP="00DF71BB">
            <w:pPr>
              <w:pStyle w:val="NoSpacing"/>
            </w:pPr>
            <w:r>
              <w:t xml:space="preserve">          Current Process</w:t>
            </w:r>
          </w:p>
        </w:tc>
        <w:tc>
          <w:tcPr>
            <w:tcW w:w="2590" w:type="dxa"/>
            <w:shd w:val="clear" w:color="auto" w:fill="BDD6EE" w:themeFill="accent1" w:themeFillTint="66"/>
          </w:tcPr>
          <w:p w:rsidR="00664528" w:rsidRDefault="00664528" w:rsidP="00DF71BB">
            <w:pPr>
              <w:pStyle w:val="NoSpacing"/>
            </w:pPr>
            <w:r>
              <w:t>Recommended Changes</w:t>
            </w:r>
          </w:p>
        </w:tc>
        <w:tc>
          <w:tcPr>
            <w:tcW w:w="2526" w:type="dxa"/>
            <w:shd w:val="clear" w:color="auto" w:fill="BDD6EE" w:themeFill="accent1" w:themeFillTint="66"/>
          </w:tcPr>
          <w:p w:rsidR="00664528" w:rsidRDefault="00664528" w:rsidP="00DF71BB">
            <w:pPr>
              <w:pStyle w:val="NoSpacing"/>
            </w:pPr>
            <w:r>
              <w:t xml:space="preserve">                 Benefit</w:t>
            </w:r>
          </w:p>
        </w:tc>
        <w:tc>
          <w:tcPr>
            <w:tcW w:w="1524" w:type="dxa"/>
            <w:shd w:val="clear" w:color="auto" w:fill="BDD6EE" w:themeFill="accent1" w:themeFillTint="66"/>
          </w:tcPr>
          <w:p w:rsidR="00664528" w:rsidRDefault="00664528" w:rsidP="00DF71BB">
            <w:pPr>
              <w:pStyle w:val="NoSpacing"/>
            </w:pPr>
            <w:r>
              <w:t xml:space="preserve">   Programs</w:t>
            </w:r>
          </w:p>
        </w:tc>
      </w:tr>
      <w:tr w:rsidR="00DF71BB" w:rsidTr="007876A0">
        <w:tc>
          <w:tcPr>
            <w:tcW w:w="1658" w:type="dxa"/>
          </w:tcPr>
          <w:p w:rsidR="00DF71BB" w:rsidRDefault="00DF71BB" w:rsidP="00DF71BB">
            <w:pPr>
              <w:pStyle w:val="NoSpacing"/>
            </w:pPr>
            <w:r>
              <w:t>Inclusion of Programs</w:t>
            </w:r>
          </w:p>
          <w:p w:rsidR="00DF71BB" w:rsidRDefault="00DF71BB" w:rsidP="00DF71BB">
            <w:pPr>
              <w:pStyle w:val="NoSpacing"/>
            </w:pPr>
          </w:p>
        </w:tc>
        <w:tc>
          <w:tcPr>
            <w:tcW w:w="2772" w:type="dxa"/>
          </w:tcPr>
          <w:p w:rsidR="00DF71BB" w:rsidRDefault="00DF71BB" w:rsidP="00DF71BB">
            <w:pPr>
              <w:pStyle w:val="NoSpacing"/>
            </w:pPr>
            <w:r>
              <w:t>Academic Transfer, Prof/Tech, and I-Best programs all have different approval processes.</w:t>
            </w:r>
          </w:p>
          <w:p w:rsidR="00DF71BB" w:rsidRDefault="00DF71BB" w:rsidP="00DF71BB">
            <w:pPr>
              <w:pStyle w:val="NoSpacing"/>
            </w:pPr>
          </w:p>
          <w:p w:rsidR="00DF71BB" w:rsidRDefault="00DF71BB" w:rsidP="00DF71BB">
            <w:pPr>
              <w:pStyle w:val="NoSpacing"/>
            </w:pPr>
            <w:r>
              <w:t>For programs to be eligible for Opportunity Grant recipients and some Work First students, additional applications must be completed.</w:t>
            </w:r>
          </w:p>
          <w:p w:rsidR="007876A0" w:rsidRDefault="007876A0" w:rsidP="00DF71BB">
            <w:pPr>
              <w:pStyle w:val="NoSpacing"/>
            </w:pPr>
          </w:p>
        </w:tc>
        <w:tc>
          <w:tcPr>
            <w:tcW w:w="2590" w:type="dxa"/>
          </w:tcPr>
          <w:p w:rsidR="00DF71BB" w:rsidRDefault="00BF5582" w:rsidP="00DF71BB">
            <w:pPr>
              <w:pStyle w:val="NoSpacing"/>
            </w:pPr>
            <w:r>
              <w:t>Recommend d</w:t>
            </w:r>
            <w:r w:rsidR="00DF71BB">
              <w:t>evelop</w:t>
            </w:r>
            <w:r>
              <w:t>ment of</w:t>
            </w:r>
            <w:r w:rsidR="00DF71BB">
              <w:t xml:space="preserve"> one online application for all lower division certificates and degrees.  </w:t>
            </w:r>
          </w:p>
          <w:p w:rsidR="00DF71BB" w:rsidRDefault="00DF71BB" w:rsidP="00DF71BB">
            <w:pPr>
              <w:pStyle w:val="NoSpacing"/>
            </w:pPr>
          </w:p>
          <w:p w:rsidR="00DF71BB" w:rsidRDefault="00DF71BB" w:rsidP="00DF71BB">
            <w:pPr>
              <w:pStyle w:val="NoSpacing"/>
            </w:pPr>
            <w:r>
              <w:t>Create a comprehensive guidance manual that walks college staff through the process and provides examples.</w:t>
            </w:r>
          </w:p>
          <w:p w:rsidR="007876A0" w:rsidRDefault="007876A0" w:rsidP="00DF71BB">
            <w:pPr>
              <w:pStyle w:val="NoSpacing"/>
            </w:pPr>
          </w:p>
        </w:tc>
        <w:tc>
          <w:tcPr>
            <w:tcW w:w="2526" w:type="dxa"/>
          </w:tcPr>
          <w:p w:rsidR="00DF71BB" w:rsidRDefault="00DF71BB" w:rsidP="00BF5582">
            <w:pPr>
              <w:pStyle w:val="NoSpacing"/>
            </w:pPr>
            <w:r>
              <w:t>One online application for all programs provide</w:t>
            </w:r>
            <w:r w:rsidR="00BF5582">
              <w:t>s</w:t>
            </w:r>
            <w:r>
              <w:t xml:space="preserve"> </w:t>
            </w:r>
            <w:r w:rsidR="00BF5582">
              <w:t>improved</w:t>
            </w:r>
            <w:r>
              <w:t xml:space="preserve"> access and streamline</w:t>
            </w:r>
            <w:r w:rsidR="00BF5582">
              <w:t>s</w:t>
            </w:r>
            <w:r>
              <w:t xml:space="preserve"> the process for college users.  </w:t>
            </w:r>
          </w:p>
        </w:tc>
        <w:tc>
          <w:tcPr>
            <w:tcW w:w="1524" w:type="dxa"/>
          </w:tcPr>
          <w:p w:rsidR="00DF71BB" w:rsidRDefault="00323D2D" w:rsidP="00DF71BB">
            <w:pPr>
              <w:pStyle w:val="NoSpacing"/>
            </w:pPr>
            <w:r>
              <w:t>All programs</w:t>
            </w:r>
          </w:p>
        </w:tc>
      </w:tr>
      <w:tr w:rsidR="00323D2D" w:rsidTr="007876A0">
        <w:tc>
          <w:tcPr>
            <w:tcW w:w="1658" w:type="dxa"/>
          </w:tcPr>
          <w:p w:rsidR="00323D2D" w:rsidRDefault="00323D2D" w:rsidP="00DF71BB">
            <w:pPr>
              <w:pStyle w:val="NoSpacing"/>
            </w:pPr>
            <w:r>
              <w:t>Program Description</w:t>
            </w:r>
          </w:p>
        </w:tc>
        <w:tc>
          <w:tcPr>
            <w:tcW w:w="2772" w:type="dxa"/>
          </w:tcPr>
          <w:p w:rsidR="00323D2D" w:rsidRDefault="00323D2D" w:rsidP="00DF71BB">
            <w:pPr>
              <w:pStyle w:val="NoSpacing"/>
            </w:pPr>
            <w:r>
              <w:t xml:space="preserve">Program descriptions vary by </w:t>
            </w:r>
            <w:r w:rsidR="00BF5582">
              <w:t>the type of</w:t>
            </w:r>
            <w:r>
              <w:t xml:space="preserve"> approval process.</w:t>
            </w:r>
          </w:p>
          <w:p w:rsidR="00323D2D" w:rsidRDefault="00323D2D" w:rsidP="00DF71BB">
            <w:pPr>
              <w:pStyle w:val="NoSpacing"/>
            </w:pPr>
          </w:p>
          <w:p w:rsidR="00323D2D" w:rsidRDefault="00323D2D" w:rsidP="00DF71BB">
            <w:pPr>
              <w:pStyle w:val="NoSpacing"/>
            </w:pPr>
            <w:r>
              <w:t>The same information is not provided consistently</w:t>
            </w:r>
          </w:p>
          <w:p w:rsidR="00323D2D" w:rsidRDefault="00323D2D" w:rsidP="00DF71BB">
            <w:pPr>
              <w:pStyle w:val="NoSpacing"/>
            </w:pPr>
          </w:p>
        </w:tc>
        <w:tc>
          <w:tcPr>
            <w:tcW w:w="2590" w:type="dxa"/>
          </w:tcPr>
          <w:p w:rsidR="00323D2D" w:rsidRDefault="00BF5582" w:rsidP="00DF71BB">
            <w:pPr>
              <w:pStyle w:val="NoSpacing"/>
            </w:pPr>
            <w:r>
              <w:t>Recommend c</w:t>
            </w:r>
            <w:r w:rsidR="00323D2D">
              <w:t>olleges include common descripti</w:t>
            </w:r>
            <w:r w:rsidR="00F54FA9">
              <w:t>ve</w:t>
            </w:r>
            <w:r w:rsidR="00323D2D">
              <w:t xml:space="preserve"> elements like program title</w:t>
            </w:r>
            <w:r w:rsidR="007876A0">
              <w:t xml:space="preserve"> and </w:t>
            </w:r>
            <w:r w:rsidR="00323D2D">
              <w:t>credits</w:t>
            </w:r>
            <w:r w:rsidR="007876A0">
              <w:t>.</w:t>
            </w:r>
          </w:p>
          <w:p w:rsidR="00323D2D" w:rsidRDefault="00323D2D" w:rsidP="00DF71BB">
            <w:pPr>
              <w:pStyle w:val="NoSpacing"/>
            </w:pPr>
          </w:p>
          <w:p w:rsidR="00323D2D" w:rsidRDefault="00323D2D" w:rsidP="00DF71BB">
            <w:pPr>
              <w:pStyle w:val="NoSpacing"/>
            </w:pPr>
            <w:r>
              <w:t>Colleges will also include information pertaining to program goals, student outcomes, awards and instructional deliver</w:t>
            </w:r>
            <w:r w:rsidR="00686DC3">
              <w:t>y</w:t>
            </w:r>
            <w:r>
              <w:t xml:space="preserve"> modes. </w:t>
            </w:r>
          </w:p>
          <w:p w:rsidR="007876A0" w:rsidRDefault="007876A0" w:rsidP="00DF71BB">
            <w:pPr>
              <w:pStyle w:val="NoSpacing"/>
            </w:pPr>
          </w:p>
        </w:tc>
        <w:tc>
          <w:tcPr>
            <w:tcW w:w="2526" w:type="dxa"/>
          </w:tcPr>
          <w:p w:rsidR="00323D2D" w:rsidRDefault="00323D2D" w:rsidP="00DF71BB">
            <w:pPr>
              <w:pStyle w:val="NoSpacing"/>
            </w:pPr>
            <w:r>
              <w:t>Consistent descriptions will allow colleges and the SBCTC to better query the inventory and more readily respond to requests for information about various college programs.</w:t>
            </w:r>
          </w:p>
        </w:tc>
        <w:tc>
          <w:tcPr>
            <w:tcW w:w="1524" w:type="dxa"/>
          </w:tcPr>
          <w:p w:rsidR="00323D2D" w:rsidRDefault="00323D2D" w:rsidP="00323D2D">
            <w:pPr>
              <w:pStyle w:val="NoSpacing"/>
            </w:pPr>
            <w:r>
              <w:t>All programs</w:t>
            </w:r>
          </w:p>
        </w:tc>
      </w:tr>
      <w:tr w:rsidR="00323D2D" w:rsidTr="007876A0">
        <w:tc>
          <w:tcPr>
            <w:tcW w:w="1658" w:type="dxa"/>
          </w:tcPr>
          <w:p w:rsidR="00323D2D" w:rsidRDefault="00323D2D" w:rsidP="00323D2D">
            <w:pPr>
              <w:pStyle w:val="NoSpacing"/>
            </w:pPr>
            <w:r>
              <w:t>Program Pathway</w:t>
            </w:r>
          </w:p>
        </w:tc>
        <w:tc>
          <w:tcPr>
            <w:tcW w:w="2772" w:type="dxa"/>
          </w:tcPr>
          <w:p w:rsidR="00323D2D" w:rsidRDefault="00323D2D" w:rsidP="00323D2D">
            <w:pPr>
              <w:pStyle w:val="NoSpacing"/>
            </w:pPr>
            <w:r>
              <w:t>The structure of the program, including options, certificates, entry and exit points, and award types is provided in a free-flowing narrative.</w:t>
            </w:r>
          </w:p>
        </w:tc>
        <w:tc>
          <w:tcPr>
            <w:tcW w:w="2590" w:type="dxa"/>
          </w:tcPr>
          <w:p w:rsidR="00323D2D" w:rsidRDefault="00323D2D" w:rsidP="00323D2D">
            <w:pPr>
              <w:pStyle w:val="NoSpacing"/>
            </w:pPr>
            <w:r>
              <w:t>Recommend a schematic or flow chart diagram be used to show the structure of the program</w:t>
            </w:r>
            <w:r w:rsidR="005E4318">
              <w:t xml:space="preserve"> and entire pathway for students including options beyond a 2-year degree</w:t>
            </w:r>
            <w:r w:rsidR="007876A0">
              <w:t xml:space="preserve"> if appropriate</w:t>
            </w:r>
            <w:r>
              <w:t>.</w:t>
            </w:r>
          </w:p>
          <w:p w:rsidR="00323D2D" w:rsidRDefault="00323D2D" w:rsidP="00323D2D">
            <w:pPr>
              <w:pStyle w:val="NoSpacing"/>
            </w:pPr>
          </w:p>
          <w:p w:rsidR="00323D2D" w:rsidRDefault="00323D2D" w:rsidP="00323D2D">
            <w:pPr>
              <w:pStyle w:val="NoSpacing"/>
            </w:pPr>
            <w:r>
              <w:t>A template with instructions on how to build the diagram will be provided.  Examples and links to technical assistance will be included in guidance.</w:t>
            </w:r>
          </w:p>
          <w:p w:rsidR="007876A0" w:rsidRDefault="007876A0" w:rsidP="00323D2D">
            <w:pPr>
              <w:pStyle w:val="NoSpacing"/>
            </w:pPr>
          </w:p>
          <w:p w:rsidR="007876A0" w:rsidRDefault="007876A0" w:rsidP="00323D2D">
            <w:pPr>
              <w:pStyle w:val="NoSpacing"/>
            </w:pPr>
          </w:p>
        </w:tc>
        <w:tc>
          <w:tcPr>
            <w:tcW w:w="2526" w:type="dxa"/>
          </w:tcPr>
          <w:p w:rsidR="00323D2D" w:rsidRDefault="00323D2D" w:rsidP="00323D2D">
            <w:pPr>
              <w:pStyle w:val="NoSpacing"/>
            </w:pPr>
            <w:r>
              <w:t>A schematic diagram of a program pathway is clearer and simpler to follow than a narrative.</w:t>
            </w:r>
          </w:p>
          <w:p w:rsidR="00323D2D" w:rsidRDefault="00323D2D" w:rsidP="00323D2D">
            <w:pPr>
              <w:pStyle w:val="NoSpacing"/>
            </w:pPr>
          </w:p>
          <w:p w:rsidR="00323D2D" w:rsidRDefault="00323D2D" w:rsidP="00BF5582">
            <w:pPr>
              <w:pStyle w:val="NoSpacing"/>
            </w:pPr>
            <w:r>
              <w:t xml:space="preserve">The same diagram could be used </w:t>
            </w:r>
            <w:r w:rsidR="00BF5582">
              <w:t>for</w:t>
            </w:r>
            <w:r>
              <w:t xml:space="preserve"> </w:t>
            </w:r>
            <w:r w:rsidR="00BF5582">
              <w:t xml:space="preserve">advisory meetings and in </w:t>
            </w:r>
            <w:r>
              <w:t>college publications</w:t>
            </w:r>
            <w:r w:rsidR="00BF5582">
              <w:t>.</w:t>
            </w:r>
          </w:p>
        </w:tc>
        <w:tc>
          <w:tcPr>
            <w:tcW w:w="1524" w:type="dxa"/>
          </w:tcPr>
          <w:p w:rsidR="00323D2D" w:rsidRDefault="00323D2D" w:rsidP="00323D2D">
            <w:pPr>
              <w:pStyle w:val="NoSpacing"/>
            </w:pPr>
            <w:r>
              <w:t>All programs</w:t>
            </w:r>
          </w:p>
        </w:tc>
      </w:tr>
      <w:tr w:rsidR="004728FB" w:rsidTr="007876A0">
        <w:tc>
          <w:tcPr>
            <w:tcW w:w="1658" w:type="dxa"/>
            <w:shd w:val="clear" w:color="auto" w:fill="BDD6EE" w:themeFill="accent1" w:themeFillTint="66"/>
          </w:tcPr>
          <w:p w:rsidR="004728FB" w:rsidRDefault="004728FB" w:rsidP="004728FB">
            <w:pPr>
              <w:pStyle w:val="NoSpacing"/>
            </w:pPr>
            <w:r>
              <w:t xml:space="preserve">      Factor</w:t>
            </w:r>
            <w:r>
              <w:tab/>
            </w:r>
          </w:p>
        </w:tc>
        <w:tc>
          <w:tcPr>
            <w:tcW w:w="2772" w:type="dxa"/>
            <w:shd w:val="clear" w:color="auto" w:fill="BDD6EE" w:themeFill="accent1" w:themeFillTint="66"/>
          </w:tcPr>
          <w:p w:rsidR="004728FB" w:rsidRDefault="004728FB" w:rsidP="004728FB">
            <w:pPr>
              <w:pStyle w:val="NoSpacing"/>
            </w:pPr>
            <w:r>
              <w:t xml:space="preserve">          Current Process</w:t>
            </w:r>
          </w:p>
        </w:tc>
        <w:tc>
          <w:tcPr>
            <w:tcW w:w="2590" w:type="dxa"/>
            <w:shd w:val="clear" w:color="auto" w:fill="BDD6EE" w:themeFill="accent1" w:themeFillTint="66"/>
          </w:tcPr>
          <w:p w:rsidR="004728FB" w:rsidRDefault="004728FB" w:rsidP="004728FB">
            <w:pPr>
              <w:pStyle w:val="NoSpacing"/>
            </w:pPr>
            <w:r>
              <w:t>Recommended Changes</w:t>
            </w:r>
          </w:p>
        </w:tc>
        <w:tc>
          <w:tcPr>
            <w:tcW w:w="2526" w:type="dxa"/>
            <w:shd w:val="clear" w:color="auto" w:fill="BDD6EE" w:themeFill="accent1" w:themeFillTint="66"/>
          </w:tcPr>
          <w:p w:rsidR="004728FB" w:rsidRDefault="004728FB" w:rsidP="004728FB">
            <w:pPr>
              <w:pStyle w:val="NoSpacing"/>
            </w:pPr>
            <w:r>
              <w:t xml:space="preserve">                 Benefit</w:t>
            </w:r>
          </w:p>
        </w:tc>
        <w:tc>
          <w:tcPr>
            <w:tcW w:w="1524" w:type="dxa"/>
            <w:shd w:val="clear" w:color="auto" w:fill="BDD6EE" w:themeFill="accent1" w:themeFillTint="66"/>
          </w:tcPr>
          <w:p w:rsidR="004728FB" w:rsidRDefault="004728FB" w:rsidP="004728FB">
            <w:pPr>
              <w:pStyle w:val="NoSpacing"/>
            </w:pPr>
            <w:r>
              <w:t xml:space="preserve">   Programs</w:t>
            </w:r>
          </w:p>
        </w:tc>
      </w:tr>
      <w:tr w:rsidR="0000004B" w:rsidTr="007876A0">
        <w:tc>
          <w:tcPr>
            <w:tcW w:w="1658" w:type="dxa"/>
          </w:tcPr>
          <w:p w:rsidR="0000004B" w:rsidRDefault="00330B0B" w:rsidP="0000004B">
            <w:pPr>
              <w:pStyle w:val="NoSpacing"/>
            </w:pPr>
            <w:r>
              <w:t>Expedited process for specific programs</w:t>
            </w:r>
          </w:p>
        </w:tc>
        <w:tc>
          <w:tcPr>
            <w:tcW w:w="2772" w:type="dxa"/>
          </w:tcPr>
          <w:p w:rsidR="0000004B" w:rsidRDefault="0000004B" w:rsidP="007876A0">
            <w:pPr>
              <w:pStyle w:val="NoSpacing"/>
              <w:ind w:left="121"/>
            </w:pPr>
            <w:r>
              <w:t>Prof/Tech certificate programs</w:t>
            </w:r>
            <w:r w:rsidR="00A22DF8">
              <w:t xml:space="preserve"> of 1-19 credits</w:t>
            </w:r>
            <w:r>
              <w:t xml:space="preserve"> do not require program approval</w:t>
            </w:r>
            <w:r w:rsidR="00A22DF8">
              <w:t>.  They must be registered.</w:t>
            </w:r>
          </w:p>
          <w:p w:rsidR="00A22DF8" w:rsidRDefault="00A22DF8" w:rsidP="007876A0">
            <w:pPr>
              <w:pStyle w:val="NoSpacing"/>
              <w:ind w:left="121"/>
            </w:pPr>
          </w:p>
          <w:p w:rsidR="00A22DF8" w:rsidRDefault="00330B0B" w:rsidP="007876A0">
            <w:pPr>
              <w:pStyle w:val="NoSpacing"/>
              <w:ind w:left="121"/>
            </w:pPr>
            <w:r>
              <w:t>Prof/Tech p</w:t>
            </w:r>
            <w:r w:rsidR="00A22DF8">
              <w:t>rograms 20 credits or longer must go through the program approval process.</w:t>
            </w:r>
          </w:p>
        </w:tc>
        <w:tc>
          <w:tcPr>
            <w:tcW w:w="2590" w:type="dxa"/>
          </w:tcPr>
          <w:p w:rsidR="00A22DF8" w:rsidRDefault="00A22DF8" w:rsidP="0000004B">
            <w:pPr>
              <w:pStyle w:val="NoSpacing"/>
              <w:ind w:left="-44"/>
            </w:pPr>
            <w:r>
              <w:t>Recommend same process for certificates that are 1-19 credits – registration only.</w:t>
            </w:r>
          </w:p>
          <w:p w:rsidR="00A22DF8" w:rsidRDefault="00A22DF8" w:rsidP="0000004B">
            <w:pPr>
              <w:pStyle w:val="NoSpacing"/>
              <w:ind w:left="-44"/>
            </w:pPr>
          </w:p>
          <w:p w:rsidR="0000004B" w:rsidRDefault="0000004B" w:rsidP="0000004B">
            <w:pPr>
              <w:pStyle w:val="NoSpacing"/>
              <w:ind w:left="-44"/>
            </w:pPr>
            <w:r>
              <w:t xml:space="preserve">Recommend </w:t>
            </w:r>
            <w:r w:rsidR="00A22DF8">
              <w:t xml:space="preserve">certificates 20-44 </w:t>
            </w:r>
            <w:r>
              <w:t>credits follow an expedited approval process if -</w:t>
            </w:r>
          </w:p>
          <w:p w:rsidR="0000004B" w:rsidRPr="000032D4" w:rsidRDefault="00686DC3" w:rsidP="0000004B">
            <w:pPr>
              <w:pStyle w:val="NoSpacing"/>
              <w:ind w:left="-44"/>
              <w:rPr>
                <w:u w:val="single"/>
              </w:rPr>
            </w:pPr>
            <w:r>
              <w:rPr>
                <w:u w:val="single"/>
              </w:rPr>
              <w:t xml:space="preserve">The </w:t>
            </w:r>
            <w:r w:rsidR="0000004B">
              <w:rPr>
                <w:u w:val="single"/>
              </w:rPr>
              <w:t>f</w:t>
            </w:r>
            <w:r w:rsidR="0000004B" w:rsidRPr="00E959CD">
              <w:rPr>
                <w:u w:val="single"/>
              </w:rPr>
              <w:t xml:space="preserve">irst </w:t>
            </w:r>
            <w:r w:rsidR="0000004B">
              <w:rPr>
                <w:u w:val="single"/>
              </w:rPr>
              <w:t>two</w:t>
            </w:r>
            <w:r w:rsidR="0000004B" w:rsidRPr="000032D4">
              <w:rPr>
                <w:u w:val="single"/>
              </w:rPr>
              <w:t xml:space="preserve"> </w:t>
            </w:r>
            <w:r w:rsidR="0000004B">
              <w:rPr>
                <w:u w:val="single"/>
              </w:rPr>
              <w:t xml:space="preserve">digits of </w:t>
            </w:r>
            <w:r>
              <w:rPr>
                <w:u w:val="single"/>
              </w:rPr>
              <w:t xml:space="preserve">the </w:t>
            </w:r>
            <w:r w:rsidR="0000004B">
              <w:rPr>
                <w:u w:val="single"/>
              </w:rPr>
              <w:t xml:space="preserve">certificate CIP are </w:t>
            </w:r>
            <w:r>
              <w:rPr>
                <w:u w:val="single"/>
              </w:rPr>
              <w:t xml:space="preserve">the </w:t>
            </w:r>
            <w:r w:rsidR="0000004B">
              <w:rPr>
                <w:u w:val="single"/>
              </w:rPr>
              <w:t xml:space="preserve">same as the first two digits </w:t>
            </w:r>
            <w:r>
              <w:rPr>
                <w:u w:val="single"/>
              </w:rPr>
              <w:t>of the primary program CIP</w:t>
            </w:r>
          </w:p>
          <w:p w:rsidR="0000004B" w:rsidRDefault="0000004B" w:rsidP="0000004B">
            <w:pPr>
              <w:pStyle w:val="NoSpacing"/>
              <w:numPr>
                <w:ilvl w:val="0"/>
                <w:numId w:val="5"/>
              </w:numPr>
              <w:ind w:left="136" w:hanging="180"/>
            </w:pPr>
            <w:r>
              <w:t xml:space="preserve">College provides a program description and pathway diagram. </w:t>
            </w:r>
          </w:p>
          <w:p w:rsidR="00A22DF8" w:rsidRDefault="00A22DF8" w:rsidP="00A22DF8">
            <w:pPr>
              <w:pStyle w:val="NoSpacing"/>
              <w:ind w:left="136"/>
            </w:pPr>
          </w:p>
          <w:p w:rsidR="0000004B" w:rsidRDefault="0000004B" w:rsidP="0000004B">
            <w:pPr>
              <w:pStyle w:val="NoSpacing"/>
              <w:numPr>
                <w:ilvl w:val="0"/>
                <w:numId w:val="5"/>
              </w:numPr>
              <w:ind w:left="136" w:hanging="180"/>
            </w:pPr>
            <w:r>
              <w:t xml:space="preserve">College provides </w:t>
            </w:r>
            <w:r w:rsidR="00A22DF8">
              <w:t>documentation of</w:t>
            </w:r>
            <w:r>
              <w:t xml:space="preserve"> </w:t>
            </w:r>
            <w:r w:rsidR="00A22DF8">
              <w:t xml:space="preserve">need </w:t>
            </w:r>
            <w:r w:rsidR="005F0AA3">
              <w:t>for</w:t>
            </w:r>
            <w:r>
              <w:t xml:space="preserve"> the </w:t>
            </w:r>
            <w:r w:rsidR="00A22DF8">
              <w:t xml:space="preserve">proposed </w:t>
            </w:r>
            <w:r>
              <w:t xml:space="preserve">prof/tech certificate. </w:t>
            </w:r>
          </w:p>
          <w:p w:rsidR="0000004B" w:rsidRDefault="0000004B" w:rsidP="00A22DF8">
            <w:pPr>
              <w:pStyle w:val="NoSpacing"/>
              <w:ind w:left="136"/>
            </w:pPr>
          </w:p>
          <w:p w:rsidR="00A22DF8" w:rsidRDefault="00A22DF8" w:rsidP="00A22DF8">
            <w:pPr>
              <w:pStyle w:val="NoSpacing"/>
            </w:pPr>
          </w:p>
          <w:p w:rsidR="00A22DF8" w:rsidRDefault="00A22DF8" w:rsidP="00A22DF8">
            <w:pPr>
              <w:pStyle w:val="NoSpacing"/>
            </w:pPr>
          </w:p>
          <w:p w:rsidR="00A22DF8" w:rsidRDefault="00A22DF8" w:rsidP="00A22DF8">
            <w:pPr>
              <w:pStyle w:val="NoSpacing"/>
            </w:pPr>
          </w:p>
          <w:p w:rsidR="00A22DF8" w:rsidRDefault="00A22DF8" w:rsidP="00A22DF8">
            <w:pPr>
              <w:pStyle w:val="NoSpacing"/>
            </w:pPr>
          </w:p>
        </w:tc>
        <w:tc>
          <w:tcPr>
            <w:tcW w:w="2526" w:type="dxa"/>
          </w:tcPr>
          <w:p w:rsidR="0000004B" w:rsidRDefault="0000004B" w:rsidP="0000004B">
            <w:pPr>
              <w:pStyle w:val="NoSpacing"/>
              <w:ind w:left="61"/>
            </w:pPr>
            <w:r>
              <w:t xml:space="preserve">Many short certificates are designed to meet employer needs to upskill incumbent workers in competitive markets. An expedited process allows colleges to ramp up </w:t>
            </w:r>
            <w:r w:rsidR="005E4162">
              <w:t xml:space="preserve">needed </w:t>
            </w:r>
            <w:r>
              <w:t xml:space="preserve">training programs quickly.  </w:t>
            </w:r>
          </w:p>
          <w:p w:rsidR="00686DC3" w:rsidRDefault="00686DC3" w:rsidP="0000004B">
            <w:pPr>
              <w:pStyle w:val="NoSpacing"/>
              <w:ind w:left="61"/>
            </w:pPr>
          </w:p>
          <w:p w:rsidR="00686DC3" w:rsidRDefault="00686DC3" w:rsidP="00686DC3">
            <w:pPr>
              <w:pStyle w:val="NoSpacing"/>
              <w:ind w:left="61"/>
            </w:pPr>
            <w:r>
              <w:t>New certificates with differing first two digits of the CIP from the primary program will be required to follow the full approval process.</w:t>
            </w:r>
          </w:p>
          <w:p w:rsidR="005F0AA3" w:rsidRDefault="005F0AA3" w:rsidP="00686DC3">
            <w:pPr>
              <w:pStyle w:val="NoSpacing"/>
              <w:ind w:left="61"/>
            </w:pPr>
          </w:p>
          <w:p w:rsidR="005F0AA3" w:rsidRDefault="005F0AA3" w:rsidP="005F0AA3">
            <w:pPr>
              <w:pStyle w:val="NoSpacing"/>
              <w:ind w:left="61"/>
            </w:pPr>
            <w:r>
              <w:t>Documentation of need may include, but is not limited to advisory committee meeting minutes, notes of conversations or emails from local employers, labor/market data, or notes from meetings with economic and/or workforce development organizations.</w:t>
            </w:r>
          </w:p>
        </w:tc>
        <w:tc>
          <w:tcPr>
            <w:tcW w:w="1524" w:type="dxa"/>
          </w:tcPr>
          <w:p w:rsidR="0000004B" w:rsidRDefault="0000004B" w:rsidP="0000004B">
            <w:pPr>
              <w:pStyle w:val="NoSpacing"/>
            </w:pPr>
            <w:r>
              <w:t xml:space="preserve">Prof/Tech </w:t>
            </w:r>
          </w:p>
        </w:tc>
      </w:tr>
      <w:tr w:rsidR="00330B0B" w:rsidTr="007876A0">
        <w:tc>
          <w:tcPr>
            <w:tcW w:w="1658" w:type="dxa"/>
          </w:tcPr>
          <w:p w:rsidR="00330B0B" w:rsidRDefault="00330B0B" w:rsidP="00330B0B">
            <w:pPr>
              <w:pStyle w:val="NoSpacing"/>
            </w:pPr>
            <w:r>
              <w:t>Program Credits</w:t>
            </w:r>
          </w:p>
        </w:tc>
        <w:tc>
          <w:tcPr>
            <w:tcW w:w="2772" w:type="dxa"/>
          </w:tcPr>
          <w:p w:rsidR="00330B0B" w:rsidRDefault="00330B0B" w:rsidP="00330B0B">
            <w:pPr>
              <w:pStyle w:val="NoSpacing"/>
              <w:ind w:left="121"/>
            </w:pPr>
            <w:r>
              <w:t>Total number of credits are listed on approval form</w:t>
            </w:r>
          </w:p>
        </w:tc>
        <w:tc>
          <w:tcPr>
            <w:tcW w:w="2590" w:type="dxa"/>
          </w:tcPr>
          <w:p w:rsidR="00330B0B" w:rsidRDefault="00330B0B" w:rsidP="00330B0B">
            <w:pPr>
              <w:pStyle w:val="NoSpacing"/>
            </w:pPr>
            <w:r>
              <w:t>Recommend colleges add additional information if certificates or degrees exceed a specific credit threshold.</w:t>
            </w:r>
          </w:p>
          <w:p w:rsidR="00330B0B" w:rsidRDefault="00330B0B" w:rsidP="00330B0B">
            <w:pPr>
              <w:pStyle w:val="NoSpacing"/>
            </w:pPr>
          </w:p>
          <w:p w:rsidR="00330B0B" w:rsidRDefault="00330B0B" w:rsidP="00330B0B">
            <w:pPr>
              <w:pStyle w:val="NoSpacing"/>
            </w:pPr>
            <w:r>
              <w:t xml:space="preserve">Certificates over 40 or 75 credits and Associate degrees over 105 credits will require rationale. </w:t>
            </w:r>
          </w:p>
        </w:tc>
        <w:tc>
          <w:tcPr>
            <w:tcW w:w="2526" w:type="dxa"/>
          </w:tcPr>
          <w:p w:rsidR="00330B0B" w:rsidRDefault="00330B0B" w:rsidP="00330B0B">
            <w:pPr>
              <w:pStyle w:val="NoSpacing"/>
            </w:pPr>
            <w:r>
              <w:t>Program cost and length for students have been considered.</w:t>
            </w:r>
          </w:p>
          <w:p w:rsidR="00330B0B" w:rsidRDefault="00330B0B" w:rsidP="00330B0B">
            <w:pPr>
              <w:pStyle w:val="NoSpacing"/>
            </w:pPr>
          </w:p>
          <w:p w:rsidR="00330B0B" w:rsidRDefault="00330B0B" w:rsidP="00330B0B">
            <w:pPr>
              <w:pStyle w:val="NoSpacing"/>
            </w:pPr>
            <w:r>
              <w:t>Rational for creating less than a 1 yr. cert. (for certs 40-44 credits) or an Associate’s degree (for certs. 75-89 credits) is documented</w:t>
            </w:r>
          </w:p>
          <w:p w:rsidR="00330B0B" w:rsidRDefault="00330B0B" w:rsidP="00330B0B">
            <w:pPr>
              <w:pStyle w:val="NoSpacing"/>
            </w:pPr>
          </w:p>
          <w:p w:rsidR="00330B0B" w:rsidRDefault="00330B0B" w:rsidP="00330B0B">
            <w:pPr>
              <w:pStyle w:val="NoSpacing"/>
            </w:pPr>
            <w:r w:rsidRPr="00204502">
              <w:rPr>
                <w:highlight w:val="yellow"/>
              </w:rPr>
              <w:t>Rationale for 2-yr.degree programs that exceed a range of 90-105 credits is documented.</w:t>
            </w:r>
          </w:p>
          <w:p w:rsidR="00330B0B" w:rsidRDefault="00330B0B" w:rsidP="00330B0B">
            <w:pPr>
              <w:pStyle w:val="NoSpacing"/>
              <w:ind w:left="61"/>
            </w:pPr>
          </w:p>
        </w:tc>
        <w:tc>
          <w:tcPr>
            <w:tcW w:w="1524" w:type="dxa"/>
          </w:tcPr>
          <w:p w:rsidR="00330B0B" w:rsidRDefault="00330B0B" w:rsidP="00330B0B">
            <w:pPr>
              <w:pStyle w:val="NoSpacing"/>
            </w:pPr>
            <w:r>
              <w:t>All Programs</w:t>
            </w:r>
          </w:p>
          <w:p w:rsidR="00330B0B" w:rsidRDefault="00330B0B" w:rsidP="00330B0B">
            <w:pPr>
              <w:pStyle w:val="NoSpacing"/>
            </w:pPr>
          </w:p>
        </w:tc>
      </w:tr>
      <w:tr w:rsidR="00330B0B" w:rsidTr="007876A0">
        <w:tc>
          <w:tcPr>
            <w:tcW w:w="1658" w:type="dxa"/>
            <w:shd w:val="clear" w:color="auto" w:fill="BDD6EE" w:themeFill="accent1" w:themeFillTint="66"/>
          </w:tcPr>
          <w:p w:rsidR="00330B0B" w:rsidRDefault="00330B0B" w:rsidP="00330B0B">
            <w:pPr>
              <w:pStyle w:val="NoSpacing"/>
            </w:pPr>
            <w:r>
              <w:t xml:space="preserve">      Factor</w:t>
            </w:r>
            <w:r>
              <w:tab/>
            </w:r>
          </w:p>
        </w:tc>
        <w:tc>
          <w:tcPr>
            <w:tcW w:w="2772" w:type="dxa"/>
            <w:shd w:val="clear" w:color="auto" w:fill="BDD6EE" w:themeFill="accent1" w:themeFillTint="66"/>
          </w:tcPr>
          <w:p w:rsidR="00330B0B" w:rsidRDefault="00330B0B" w:rsidP="00330B0B">
            <w:pPr>
              <w:pStyle w:val="NoSpacing"/>
            </w:pPr>
            <w:r>
              <w:t xml:space="preserve">          Current Process</w:t>
            </w:r>
          </w:p>
        </w:tc>
        <w:tc>
          <w:tcPr>
            <w:tcW w:w="2590" w:type="dxa"/>
            <w:shd w:val="clear" w:color="auto" w:fill="BDD6EE" w:themeFill="accent1" w:themeFillTint="66"/>
          </w:tcPr>
          <w:p w:rsidR="00330B0B" w:rsidRDefault="00330B0B" w:rsidP="00330B0B">
            <w:pPr>
              <w:pStyle w:val="NoSpacing"/>
            </w:pPr>
            <w:r>
              <w:t>Recommended Changes</w:t>
            </w:r>
          </w:p>
        </w:tc>
        <w:tc>
          <w:tcPr>
            <w:tcW w:w="2526" w:type="dxa"/>
            <w:shd w:val="clear" w:color="auto" w:fill="BDD6EE" w:themeFill="accent1" w:themeFillTint="66"/>
          </w:tcPr>
          <w:p w:rsidR="00330B0B" w:rsidRDefault="00330B0B" w:rsidP="00330B0B">
            <w:pPr>
              <w:pStyle w:val="NoSpacing"/>
            </w:pPr>
            <w:r>
              <w:t xml:space="preserve">                 Benefit</w:t>
            </w:r>
          </w:p>
        </w:tc>
        <w:tc>
          <w:tcPr>
            <w:tcW w:w="1524" w:type="dxa"/>
            <w:shd w:val="clear" w:color="auto" w:fill="BDD6EE" w:themeFill="accent1" w:themeFillTint="66"/>
          </w:tcPr>
          <w:p w:rsidR="00330B0B" w:rsidRDefault="00330B0B" w:rsidP="00330B0B">
            <w:pPr>
              <w:pStyle w:val="NoSpacing"/>
            </w:pPr>
            <w:r>
              <w:t xml:space="preserve">   Programs</w:t>
            </w:r>
          </w:p>
        </w:tc>
      </w:tr>
      <w:tr w:rsidR="00330B0B" w:rsidTr="007876A0">
        <w:tc>
          <w:tcPr>
            <w:tcW w:w="1658" w:type="dxa"/>
          </w:tcPr>
          <w:p w:rsidR="00330B0B" w:rsidRDefault="00330B0B" w:rsidP="00330B0B">
            <w:pPr>
              <w:pStyle w:val="NoSpacing"/>
            </w:pPr>
            <w:r>
              <w:t>Inter-College Communication</w:t>
            </w:r>
          </w:p>
        </w:tc>
        <w:tc>
          <w:tcPr>
            <w:tcW w:w="2772" w:type="dxa"/>
          </w:tcPr>
          <w:p w:rsidR="00330B0B" w:rsidRDefault="00330B0B" w:rsidP="00330B0B">
            <w:pPr>
              <w:pStyle w:val="NoSpacing"/>
              <w:ind w:left="301" w:hanging="180"/>
            </w:pPr>
            <w:r>
              <w:t>Academic Transfer Prog.</w:t>
            </w:r>
          </w:p>
          <w:p w:rsidR="00330B0B" w:rsidRDefault="00330B0B" w:rsidP="00330B0B">
            <w:pPr>
              <w:pStyle w:val="NoSpacing"/>
              <w:ind w:left="301" w:hanging="180"/>
            </w:pPr>
            <w:r>
              <w:t xml:space="preserve">The college requesting program approval must secure signatures from the Chief Instructional Officers at neighboring colleges. </w:t>
            </w:r>
          </w:p>
          <w:p w:rsidR="00330B0B" w:rsidRDefault="00330B0B" w:rsidP="00330B0B">
            <w:pPr>
              <w:pStyle w:val="NoSpacing"/>
              <w:ind w:left="301" w:hanging="180"/>
            </w:pPr>
          </w:p>
          <w:p w:rsidR="00330B0B" w:rsidRDefault="00330B0B" w:rsidP="00330B0B">
            <w:pPr>
              <w:pStyle w:val="NoSpacing"/>
              <w:ind w:left="121"/>
            </w:pPr>
            <w:r>
              <w:t>Prof/Tech Prog.</w:t>
            </w:r>
          </w:p>
          <w:p w:rsidR="00330B0B" w:rsidRDefault="00330B0B" w:rsidP="00330B0B">
            <w:pPr>
              <w:pStyle w:val="NoSpacing"/>
              <w:ind w:left="301" w:hanging="180"/>
            </w:pPr>
            <w:r>
              <w:t xml:space="preserve">    Upon receipt of a program approval request, the State Board forwards notification to CTCs via email.  </w:t>
            </w:r>
          </w:p>
        </w:tc>
        <w:tc>
          <w:tcPr>
            <w:tcW w:w="2590" w:type="dxa"/>
          </w:tcPr>
          <w:p w:rsidR="00330B0B" w:rsidRDefault="00330B0B" w:rsidP="00330B0B">
            <w:pPr>
              <w:pStyle w:val="NoSpacing"/>
              <w:ind w:left="46"/>
            </w:pPr>
            <w:r>
              <w:t xml:space="preserve">Recommend colleges be </w:t>
            </w:r>
            <w:r w:rsidRPr="00B7343E">
              <w:rPr>
                <w:u w:val="single"/>
              </w:rPr>
              <w:t>encouraged</w:t>
            </w:r>
            <w:r>
              <w:t xml:space="preserve"> (not required) to submit plans to develop a new program or add an option to an existing program using a new program matrix. </w:t>
            </w:r>
          </w:p>
          <w:p w:rsidR="00330B0B" w:rsidRDefault="00330B0B" w:rsidP="00330B0B">
            <w:pPr>
              <w:pStyle w:val="NoSpacing"/>
              <w:ind w:left="46"/>
            </w:pPr>
          </w:p>
          <w:p w:rsidR="00330B0B" w:rsidRPr="00204502" w:rsidRDefault="00330B0B" w:rsidP="00330B0B">
            <w:pPr>
              <w:pStyle w:val="NoSpacing"/>
              <w:ind w:left="46"/>
              <w:rPr>
                <w:highlight w:val="yellow"/>
              </w:rPr>
            </w:pPr>
            <w:r w:rsidRPr="00204502">
              <w:rPr>
                <w:highlight w:val="yellow"/>
              </w:rPr>
              <w:t xml:space="preserve">Academic Transfer still requires CIO signatures. </w:t>
            </w:r>
          </w:p>
          <w:p w:rsidR="00330B0B" w:rsidRPr="00204502" w:rsidRDefault="00330B0B" w:rsidP="00330B0B">
            <w:pPr>
              <w:pStyle w:val="NoSpacing"/>
              <w:ind w:left="46"/>
              <w:rPr>
                <w:highlight w:val="yellow"/>
              </w:rPr>
            </w:pPr>
          </w:p>
          <w:p w:rsidR="00330B0B" w:rsidRDefault="00330B0B" w:rsidP="00330B0B">
            <w:pPr>
              <w:pStyle w:val="NoSpacing"/>
              <w:ind w:left="46"/>
            </w:pPr>
            <w:r w:rsidRPr="00204502">
              <w:rPr>
                <w:highlight w:val="yellow"/>
              </w:rPr>
              <w:t>Prof/Tech still requires notification to CTCs.</w:t>
            </w:r>
          </w:p>
          <w:p w:rsidR="00330B0B" w:rsidRDefault="00330B0B" w:rsidP="00330B0B">
            <w:pPr>
              <w:pStyle w:val="NoSpacing"/>
              <w:ind w:left="226" w:firstLine="15"/>
            </w:pPr>
          </w:p>
        </w:tc>
        <w:tc>
          <w:tcPr>
            <w:tcW w:w="2526" w:type="dxa"/>
          </w:tcPr>
          <w:p w:rsidR="00330B0B" w:rsidRDefault="00330B0B" w:rsidP="00330B0B">
            <w:pPr>
              <w:pStyle w:val="NoSpacing"/>
              <w:ind w:left="61"/>
            </w:pPr>
            <w:r>
              <w:t>A matrix will provide more timely notice to colleges.</w:t>
            </w:r>
          </w:p>
          <w:p w:rsidR="00330B0B" w:rsidRDefault="00330B0B" w:rsidP="00330B0B">
            <w:pPr>
              <w:pStyle w:val="NoSpacing"/>
              <w:ind w:left="61"/>
            </w:pPr>
          </w:p>
          <w:p w:rsidR="00330B0B" w:rsidRPr="00FB5600" w:rsidRDefault="00330B0B" w:rsidP="00330B0B">
            <w:pPr>
              <w:pStyle w:val="NoSpacing"/>
              <w:ind w:left="61"/>
            </w:pPr>
            <w:r>
              <w:t>Supports</w:t>
            </w:r>
            <w:r w:rsidRPr="00FB5600">
              <w:t xml:space="preserve"> a collaborative system approach to serving students</w:t>
            </w:r>
            <w:r>
              <w:t xml:space="preserve"> and communities.</w:t>
            </w:r>
          </w:p>
          <w:p w:rsidR="00330B0B" w:rsidRDefault="00330B0B" w:rsidP="00330B0B">
            <w:pPr>
              <w:pStyle w:val="NoSpacing"/>
              <w:ind w:left="61"/>
            </w:pPr>
            <w:r>
              <w:t xml:space="preserve"> </w:t>
            </w:r>
          </w:p>
          <w:p w:rsidR="00330B0B" w:rsidRDefault="00330B0B" w:rsidP="00330B0B">
            <w:pPr>
              <w:pStyle w:val="NoSpacing"/>
              <w:ind w:left="61"/>
            </w:pPr>
            <w:r>
              <w:t>Will hopefully minimize disputes later in the approval process.</w:t>
            </w:r>
          </w:p>
        </w:tc>
        <w:tc>
          <w:tcPr>
            <w:tcW w:w="1524" w:type="dxa"/>
          </w:tcPr>
          <w:p w:rsidR="00330B0B" w:rsidRDefault="00330B0B" w:rsidP="00330B0B">
            <w:pPr>
              <w:pStyle w:val="NoSpacing"/>
            </w:pPr>
            <w:r>
              <w:t>All Programs</w:t>
            </w:r>
          </w:p>
        </w:tc>
      </w:tr>
      <w:tr w:rsidR="00330B0B" w:rsidTr="007876A0">
        <w:tc>
          <w:tcPr>
            <w:tcW w:w="1658" w:type="dxa"/>
          </w:tcPr>
          <w:p w:rsidR="00330B0B" w:rsidRDefault="00330B0B" w:rsidP="00330B0B">
            <w:pPr>
              <w:pStyle w:val="NoSpacing"/>
            </w:pPr>
            <w:r>
              <w:t>Supply/Demand Data</w:t>
            </w:r>
          </w:p>
        </w:tc>
        <w:tc>
          <w:tcPr>
            <w:tcW w:w="2772" w:type="dxa"/>
          </w:tcPr>
          <w:p w:rsidR="00330B0B" w:rsidRDefault="00330B0B" w:rsidP="00330B0B">
            <w:pPr>
              <w:pStyle w:val="NoSpacing"/>
            </w:pPr>
            <w:r>
              <w:t xml:space="preserve">Supply and labor market demand information is required.  However, there is no guidance on what type of data is required or tools/resources for providing evidence of need.   </w:t>
            </w:r>
          </w:p>
        </w:tc>
        <w:tc>
          <w:tcPr>
            <w:tcW w:w="2590" w:type="dxa"/>
          </w:tcPr>
          <w:p w:rsidR="00330B0B" w:rsidRDefault="00330B0B" w:rsidP="00330B0B">
            <w:pPr>
              <w:pStyle w:val="NoSpacing"/>
            </w:pPr>
            <w:r>
              <w:t xml:space="preserve">Recommend following established Applied Baccalaureate program criteria for supply and demand data.  </w:t>
            </w:r>
          </w:p>
          <w:p w:rsidR="00330B0B" w:rsidRDefault="00330B0B" w:rsidP="00330B0B">
            <w:pPr>
              <w:pStyle w:val="NoSpacing"/>
            </w:pPr>
          </w:p>
          <w:p w:rsidR="00330B0B" w:rsidRDefault="00330B0B" w:rsidP="00330B0B">
            <w:pPr>
              <w:pStyle w:val="NoSpacing"/>
            </w:pPr>
            <w:r>
              <w:t>Guidelines will add links to free tools and contact information for regional Employment Security Dept. economists.</w:t>
            </w:r>
          </w:p>
          <w:p w:rsidR="00330B0B" w:rsidRDefault="00330B0B" w:rsidP="00330B0B">
            <w:pPr>
              <w:pStyle w:val="NoSpacing"/>
            </w:pPr>
          </w:p>
          <w:p w:rsidR="00330B0B" w:rsidRDefault="00330B0B" w:rsidP="00330B0B">
            <w:pPr>
              <w:pStyle w:val="NoSpacing"/>
            </w:pPr>
          </w:p>
        </w:tc>
        <w:tc>
          <w:tcPr>
            <w:tcW w:w="2526" w:type="dxa"/>
          </w:tcPr>
          <w:p w:rsidR="00330B0B" w:rsidRDefault="00330B0B" w:rsidP="00330B0B">
            <w:pPr>
              <w:pStyle w:val="NoSpacing"/>
            </w:pPr>
            <w:r>
              <w:t>The BAS supply/demand criteria is well-vetted and stipulates the kinds of evidence required for specific circumstances (established occupations vs. emerging occupations).</w:t>
            </w:r>
          </w:p>
          <w:p w:rsidR="00330B0B" w:rsidRDefault="00330B0B" w:rsidP="00330B0B">
            <w:pPr>
              <w:pStyle w:val="NoSpacing"/>
            </w:pPr>
          </w:p>
        </w:tc>
        <w:tc>
          <w:tcPr>
            <w:tcW w:w="1524" w:type="dxa"/>
          </w:tcPr>
          <w:p w:rsidR="00330B0B" w:rsidRDefault="00330B0B" w:rsidP="00330B0B">
            <w:pPr>
              <w:pStyle w:val="NoSpacing"/>
            </w:pPr>
            <w:r>
              <w:t>Prof/Tech</w:t>
            </w:r>
          </w:p>
          <w:p w:rsidR="00330B0B" w:rsidRDefault="00330B0B" w:rsidP="00330B0B">
            <w:pPr>
              <w:pStyle w:val="NoSpacing"/>
            </w:pPr>
            <w:r>
              <w:t>I-BEST</w:t>
            </w:r>
          </w:p>
        </w:tc>
      </w:tr>
      <w:tr w:rsidR="00330B0B" w:rsidTr="007876A0">
        <w:tc>
          <w:tcPr>
            <w:tcW w:w="1658" w:type="dxa"/>
          </w:tcPr>
          <w:p w:rsidR="00330B0B" w:rsidRDefault="00330B0B" w:rsidP="00330B0B">
            <w:pPr>
              <w:pStyle w:val="NoSpacing"/>
            </w:pPr>
            <w:r>
              <w:t>Wage Information</w:t>
            </w:r>
          </w:p>
        </w:tc>
        <w:tc>
          <w:tcPr>
            <w:tcW w:w="2772" w:type="dxa"/>
          </w:tcPr>
          <w:p w:rsidR="00330B0B" w:rsidRDefault="00330B0B" w:rsidP="00330B0B">
            <w:r>
              <w:t>Wage data is required, but little guidance is provided.</w:t>
            </w:r>
          </w:p>
        </w:tc>
        <w:tc>
          <w:tcPr>
            <w:tcW w:w="2590" w:type="dxa"/>
          </w:tcPr>
          <w:p w:rsidR="00330B0B" w:rsidRDefault="00330B0B" w:rsidP="00330B0B">
            <w:pPr>
              <w:pStyle w:val="NoSpacing"/>
            </w:pPr>
            <w:r>
              <w:t>Recommend colleges identify wages for the occupation(s) and area the data represents (county, region, state).</w:t>
            </w:r>
          </w:p>
          <w:p w:rsidR="00330B0B" w:rsidRDefault="00330B0B" w:rsidP="00330B0B">
            <w:pPr>
              <w:pStyle w:val="NoSpacing"/>
            </w:pPr>
          </w:p>
          <w:p w:rsidR="00330B0B" w:rsidRDefault="00330B0B" w:rsidP="00330B0B">
            <w:pPr>
              <w:pStyle w:val="NoSpacing"/>
            </w:pPr>
            <w:r>
              <w:t xml:space="preserve">Narrative is required if wage information is not available (emerging occupation). </w:t>
            </w:r>
          </w:p>
          <w:p w:rsidR="00330B0B" w:rsidRDefault="00330B0B" w:rsidP="00330B0B">
            <w:pPr>
              <w:pStyle w:val="NoSpacing"/>
            </w:pPr>
          </w:p>
          <w:p w:rsidR="00330B0B" w:rsidRDefault="00330B0B" w:rsidP="00330B0B">
            <w:pPr>
              <w:pStyle w:val="NoSpacing"/>
            </w:pPr>
            <w:r>
              <w:t>A link to the state’s Employment Security Dept. data will be embedded in the form.</w:t>
            </w:r>
          </w:p>
          <w:p w:rsidR="00330B0B" w:rsidRDefault="00330B0B" w:rsidP="00330B0B">
            <w:pPr>
              <w:pStyle w:val="NoSpacing"/>
            </w:pPr>
          </w:p>
          <w:p w:rsidR="00330B0B" w:rsidRDefault="00330B0B" w:rsidP="00330B0B">
            <w:pPr>
              <w:pStyle w:val="NoSpacing"/>
            </w:pPr>
          </w:p>
          <w:p w:rsidR="00330B0B" w:rsidRDefault="00330B0B" w:rsidP="00330B0B">
            <w:pPr>
              <w:pStyle w:val="NoSpacing"/>
            </w:pPr>
          </w:p>
        </w:tc>
        <w:tc>
          <w:tcPr>
            <w:tcW w:w="2526" w:type="dxa"/>
          </w:tcPr>
          <w:p w:rsidR="00330B0B" w:rsidRDefault="00330B0B" w:rsidP="00330B0B">
            <w:pPr>
              <w:pStyle w:val="NoSpacing"/>
            </w:pPr>
            <w:r>
              <w:t>Helps inform students about potential wages as they select a college program.</w:t>
            </w:r>
          </w:p>
          <w:p w:rsidR="00330B0B" w:rsidRDefault="00330B0B" w:rsidP="00330B0B">
            <w:pPr>
              <w:pStyle w:val="NoSpacing"/>
            </w:pPr>
          </w:p>
          <w:p w:rsidR="00330B0B" w:rsidRDefault="00330B0B" w:rsidP="00330B0B">
            <w:pPr>
              <w:pStyle w:val="NoSpacing"/>
            </w:pPr>
            <w:r>
              <w:t>Provides required wage information for prof/tech programs on college web sites</w:t>
            </w:r>
          </w:p>
          <w:p w:rsidR="00330B0B" w:rsidRPr="00FB5600" w:rsidRDefault="00330B0B" w:rsidP="00330B0B">
            <w:pPr>
              <w:pStyle w:val="NoSpacing"/>
            </w:pPr>
          </w:p>
          <w:p w:rsidR="00330B0B" w:rsidRDefault="00330B0B" w:rsidP="00330B0B">
            <w:pPr>
              <w:pStyle w:val="NoSpacing"/>
            </w:pPr>
            <w:r>
              <w:t>Is required to meet Opportunity Grant and some WorkFirst eligibility criteria.</w:t>
            </w:r>
          </w:p>
        </w:tc>
        <w:tc>
          <w:tcPr>
            <w:tcW w:w="1524" w:type="dxa"/>
          </w:tcPr>
          <w:p w:rsidR="00330B0B" w:rsidRDefault="00330B0B" w:rsidP="00330B0B">
            <w:pPr>
              <w:pStyle w:val="NoSpacing"/>
            </w:pPr>
            <w:r>
              <w:t>Prof/Tech</w:t>
            </w:r>
          </w:p>
          <w:p w:rsidR="00330B0B" w:rsidRDefault="00330B0B" w:rsidP="00330B0B">
            <w:pPr>
              <w:pStyle w:val="NoSpacing"/>
            </w:pPr>
            <w:r>
              <w:t>I-BEST</w:t>
            </w:r>
          </w:p>
        </w:tc>
      </w:tr>
      <w:tr w:rsidR="00330B0B" w:rsidTr="007876A0">
        <w:tc>
          <w:tcPr>
            <w:tcW w:w="1658" w:type="dxa"/>
            <w:shd w:val="clear" w:color="auto" w:fill="BDD6EE" w:themeFill="accent1" w:themeFillTint="66"/>
          </w:tcPr>
          <w:p w:rsidR="00330B0B" w:rsidRDefault="00330B0B" w:rsidP="00330B0B">
            <w:pPr>
              <w:pStyle w:val="NoSpacing"/>
            </w:pPr>
            <w:r>
              <w:t xml:space="preserve">      Factor</w:t>
            </w:r>
            <w:r>
              <w:tab/>
            </w:r>
          </w:p>
        </w:tc>
        <w:tc>
          <w:tcPr>
            <w:tcW w:w="2772" w:type="dxa"/>
            <w:shd w:val="clear" w:color="auto" w:fill="BDD6EE" w:themeFill="accent1" w:themeFillTint="66"/>
          </w:tcPr>
          <w:p w:rsidR="00330B0B" w:rsidRDefault="00330B0B" w:rsidP="00330B0B">
            <w:pPr>
              <w:pStyle w:val="NoSpacing"/>
            </w:pPr>
            <w:r>
              <w:t xml:space="preserve">          Current Process</w:t>
            </w:r>
          </w:p>
        </w:tc>
        <w:tc>
          <w:tcPr>
            <w:tcW w:w="2590" w:type="dxa"/>
            <w:shd w:val="clear" w:color="auto" w:fill="BDD6EE" w:themeFill="accent1" w:themeFillTint="66"/>
          </w:tcPr>
          <w:p w:rsidR="00330B0B" w:rsidRDefault="00330B0B" w:rsidP="00330B0B">
            <w:pPr>
              <w:pStyle w:val="NoSpacing"/>
            </w:pPr>
            <w:r>
              <w:t>Recommended Changes</w:t>
            </w:r>
          </w:p>
        </w:tc>
        <w:tc>
          <w:tcPr>
            <w:tcW w:w="2526" w:type="dxa"/>
            <w:shd w:val="clear" w:color="auto" w:fill="BDD6EE" w:themeFill="accent1" w:themeFillTint="66"/>
          </w:tcPr>
          <w:p w:rsidR="00330B0B" w:rsidRDefault="00330B0B" w:rsidP="00330B0B">
            <w:pPr>
              <w:pStyle w:val="NoSpacing"/>
            </w:pPr>
            <w:r>
              <w:t xml:space="preserve">                 Benefit</w:t>
            </w:r>
          </w:p>
        </w:tc>
        <w:tc>
          <w:tcPr>
            <w:tcW w:w="1524" w:type="dxa"/>
            <w:shd w:val="clear" w:color="auto" w:fill="BDD6EE" w:themeFill="accent1" w:themeFillTint="66"/>
          </w:tcPr>
          <w:p w:rsidR="00330B0B" w:rsidRDefault="00330B0B" w:rsidP="00330B0B">
            <w:pPr>
              <w:pStyle w:val="NoSpacing"/>
            </w:pPr>
            <w:r>
              <w:t xml:space="preserve">   Programs</w:t>
            </w:r>
          </w:p>
        </w:tc>
      </w:tr>
      <w:tr w:rsidR="00330B0B" w:rsidTr="007876A0">
        <w:tc>
          <w:tcPr>
            <w:tcW w:w="1658" w:type="dxa"/>
          </w:tcPr>
          <w:p w:rsidR="00330B0B" w:rsidRDefault="00330B0B" w:rsidP="00330B0B">
            <w:pPr>
              <w:pStyle w:val="NoSpacing"/>
            </w:pPr>
            <w:r>
              <w:t>Clinical and Work-based Learning Placements</w:t>
            </w:r>
          </w:p>
        </w:tc>
        <w:tc>
          <w:tcPr>
            <w:tcW w:w="2772" w:type="dxa"/>
          </w:tcPr>
          <w:p w:rsidR="00330B0B" w:rsidRDefault="00330B0B" w:rsidP="00330B0B">
            <w:r>
              <w:t xml:space="preserve">If applicable, an initial assessment of opportunities </w:t>
            </w:r>
            <w:r w:rsidRPr="00021B25">
              <w:t>for work-based learning/clinical sites</w:t>
            </w:r>
            <w:r>
              <w:t xml:space="preserve"> must be documented.</w:t>
            </w:r>
          </w:p>
          <w:p w:rsidR="00330B0B" w:rsidRDefault="00330B0B" w:rsidP="00330B0B">
            <w:pPr>
              <w:pStyle w:val="NoSpacing"/>
            </w:pPr>
          </w:p>
        </w:tc>
        <w:tc>
          <w:tcPr>
            <w:tcW w:w="2590" w:type="dxa"/>
          </w:tcPr>
          <w:p w:rsidR="00330B0B" w:rsidRDefault="00330B0B" w:rsidP="00330B0B">
            <w:pPr>
              <w:pStyle w:val="NoSpacing"/>
            </w:pPr>
            <w:r>
              <w:t>Recommend the following:</w:t>
            </w:r>
          </w:p>
          <w:p w:rsidR="00330B0B" w:rsidRDefault="00330B0B" w:rsidP="00330B0B">
            <w:pPr>
              <w:pStyle w:val="NoSpacing"/>
            </w:pPr>
          </w:p>
          <w:p w:rsidR="00330B0B" w:rsidRDefault="00330B0B" w:rsidP="00330B0B">
            <w:pPr>
              <w:pStyle w:val="NoSpacing"/>
            </w:pPr>
            <w:r>
              <w:t xml:space="preserve">If applicable, the college must state if the clinical or work-based placements are </w:t>
            </w:r>
          </w:p>
          <w:p w:rsidR="00330B0B" w:rsidRDefault="00330B0B" w:rsidP="00330B0B">
            <w:pPr>
              <w:pStyle w:val="NoSpacing"/>
              <w:numPr>
                <w:ilvl w:val="0"/>
                <w:numId w:val="2"/>
              </w:numPr>
              <w:ind w:left="343" w:hanging="270"/>
            </w:pPr>
            <w:r>
              <w:t>Required by an accrediting or certifying body.</w:t>
            </w:r>
          </w:p>
          <w:p w:rsidR="00330B0B" w:rsidRDefault="00330B0B" w:rsidP="00330B0B">
            <w:pPr>
              <w:pStyle w:val="NoSpacing"/>
              <w:numPr>
                <w:ilvl w:val="0"/>
                <w:numId w:val="2"/>
              </w:numPr>
              <w:ind w:left="343" w:hanging="270"/>
            </w:pPr>
            <w:r>
              <w:t>Required by the college.</w:t>
            </w:r>
          </w:p>
          <w:p w:rsidR="00330B0B" w:rsidRDefault="00330B0B" w:rsidP="00330B0B">
            <w:pPr>
              <w:pStyle w:val="NoSpacing"/>
              <w:numPr>
                <w:ilvl w:val="0"/>
                <w:numId w:val="2"/>
              </w:numPr>
              <w:ind w:left="343" w:hanging="270"/>
            </w:pPr>
            <w:r>
              <w:t>Optional for students.</w:t>
            </w:r>
          </w:p>
          <w:p w:rsidR="00330B0B" w:rsidRDefault="00330B0B" w:rsidP="00330B0B">
            <w:pPr>
              <w:pStyle w:val="NoSpacing"/>
              <w:ind w:left="343"/>
            </w:pPr>
          </w:p>
          <w:p w:rsidR="00330B0B" w:rsidRDefault="00330B0B" w:rsidP="00330B0B">
            <w:pPr>
              <w:pStyle w:val="NoSpacing"/>
            </w:pPr>
            <w:r>
              <w:t xml:space="preserve">If required, the college must provide the number of annual placements needed and provide letters of commitment from all employers/organizations providing placements. </w:t>
            </w:r>
          </w:p>
          <w:p w:rsidR="00330B0B" w:rsidRDefault="00330B0B" w:rsidP="00330B0B">
            <w:pPr>
              <w:pStyle w:val="NoSpacing"/>
            </w:pPr>
          </w:p>
        </w:tc>
        <w:tc>
          <w:tcPr>
            <w:tcW w:w="2526" w:type="dxa"/>
          </w:tcPr>
          <w:p w:rsidR="00330B0B" w:rsidRDefault="00330B0B" w:rsidP="00330B0B">
            <w:pPr>
              <w:pStyle w:val="NoSpacing"/>
            </w:pPr>
            <w:r>
              <w:t>Concerns about placements are addressed at the beginning of the approval process.</w:t>
            </w:r>
          </w:p>
          <w:p w:rsidR="00330B0B" w:rsidRDefault="00330B0B" w:rsidP="00330B0B">
            <w:pPr>
              <w:pStyle w:val="NoSpacing"/>
            </w:pPr>
          </w:p>
          <w:p w:rsidR="00330B0B" w:rsidRDefault="00330B0B" w:rsidP="00330B0B">
            <w:pPr>
              <w:pStyle w:val="NoSpacing"/>
            </w:pPr>
            <w:r>
              <w:t>May reduce objections by nearby colleges offering similar programs that also require student placements.</w:t>
            </w:r>
          </w:p>
        </w:tc>
        <w:tc>
          <w:tcPr>
            <w:tcW w:w="1524" w:type="dxa"/>
          </w:tcPr>
          <w:p w:rsidR="00330B0B" w:rsidRDefault="00330B0B" w:rsidP="00330B0B">
            <w:pPr>
              <w:pStyle w:val="NoSpacing"/>
            </w:pPr>
            <w:r>
              <w:t>Prof/Tech</w:t>
            </w:r>
          </w:p>
        </w:tc>
      </w:tr>
    </w:tbl>
    <w:p w:rsidR="005E4162" w:rsidRDefault="005E4162" w:rsidP="00323D2D">
      <w:pPr>
        <w:pStyle w:val="Heading2"/>
        <w:rPr>
          <w:b/>
        </w:rPr>
      </w:pPr>
    </w:p>
    <w:p w:rsidR="005E4162" w:rsidRDefault="005E4162" w:rsidP="00323D2D">
      <w:pPr>
        <w:pStyle w:val="Heading2"/>
        <w:rPr>
          <w:b/>
        </w:rPr>
      </w:pPr>
    </w:p>
    <w:p w:rsidR="00323D2D" w:rsidRPr="00CB0702" w:rsidRDefault="00323D2D" w:rsidP="00323D2D">
      <w:pPr>
        <w:pStyle w:val="Heading2"/>
        <w:rPr>
          <w:b/>
        </w:rPr>
      </w:pPr>
      <w:r w:rsidRPr="00CB0702">
        <w:rPr>
          <w:b/>
        </w:rPr>
        <w:t>Background</w:t>
      </w:r>
    </w:p>
    <w:p w:rsidR="00323D2D" w:rsidRPr="00136C80" w:rsidRDefault="00323D2D" w:rsidP="00323D2D">
      <w:pPr>
        <w:pStyle w:val="NoSpacing"/>
        <w:rPr>
          <w:color w:val="FF0000"/>
        </w:rPr>
      </w:pPr>
      <w:r>
        <w:t>A twelve-member Program Approval Task Force was formed last March 2017, to create a more meaningful</w:t>
      </w:r>
      <w:r w:rsidR="005F0AA3">
        <w:t>, consistent</w:t>
      </w:r>
      <w:r>
        <w:t xml:space="preserve"> and accessible program approval process and inventory of programs.  Guiding principles and goals were developed and agreed upon by the Task Force members.  The members also identified the purposes of program approval </w:t>
      </w:r>
      <w:r w:rsidR="004728FB">
        <w:t>for Washington’s</w:t>
      </w:r>
      <w:r>
        <w:t xml:space="preserve"> CTC system.  These documents can be found at </w:t>
      </w:r>
      <w:hyperlink r:id="rId8" w:history="1">
        <w:r>
          <w:rPr>
            <w:rStyle w:val="Hyperlink"/>
          </w:rPr>
          <w:t>Program Approval Task Force</w:t>
        </w:r>
      </w:hyperlink>
    </w:p>
    <w:p w:rsidR="00323D2D" w:rsidRDefault="00323D2D" w:rsidP="00323D2D">
      <w:pPr>
        <w:pStyle w:val="NoSpacing"/>
      </w:pPr>
    </w:p>
    <w:p w:rsidR="00323D2D" w:rsidRDefault="00323D2D" w:rsidP="00323D2D">
      <w:pPr>
        <w:pStyle w:val="NoSpacing"/>
      </w:pPr>
      <w:r>
        <w:t>A fully online application and program inventory are envisioned, creating access to information about college programs and actionable data that supports program development, assessment and research at the college and State Board level.  Not all parts of the application process will be required for all program types.  Depending on the program, college staff will be required to fill out only portions of the electronic approval form.  Use of drop-down menus, pre-programed schematics and calculations, and text boxes will be used to streamline the process.</w:t>
      </w:r>
      <w:r w:rsidR="00CB0702">
        <w:t xml:space="preserve">  </w:t>
      </w:r>
      <w:r w:rsidR="00894F50">
        <w:t>A guidance manual</w:t>
      </w:r>
      <w:r w:rsidR="00CB0702">
        <w:t xml:space="preserve">, examples and a glossary of terms </w:t>
      </w:r>
      <w:r w:rsidR="00786777">
        <w:t>will also be developed for</w:t>
      </w:r>
      <w:r w:rsidR="00CB0702">
        <w:t xml:space="preserve"> college staff.</w:t>
      </w:r>
      <w:r w:rsidR="005F0AA3">
        <w:t xml:space="preserve">  Links to NWCCU information concerning substantive change requirements will also be included</w:t>
      </w:r>
      <w:r w:rsidR="00AE75F1">
        <w:t>.</w:t>
      </w:r>
    </w:p>
    <w:p w:rsidR="00323D2D" w:rsidRDefault="00323D2D" w:rsidP="00323D2D">
      <w:pPr>
        <w:pStyle w:val="NoSpacing"/>
      </w:pPr>
    </w:p>
    <w:p w:rsidR="00AE75F1" w:rsidRDefault="00AE75F1" w:rsidP="00323D2D">
      <w:pPr>
        <w:pStyle w:val="NoSpacing"/>
      </w:pPr>
    </w:p>
    <w:p w:rsidR="00AE75F1" w:rsidRDefault="00AE75F1" w:rsidP="00323D2D">
      <w:pPr>
        <w:pStyle w:val="NoSpacing"/>
      </w:pPr>
    </w:p>
    <w:p w:rsidR="00323D2D" w:rsidRPr="00CB0702" w:rsidRDefault="00323D2D" w:rsidP="00CB0702">
      <w:pPr>
        <w:pStyle w:val="Heading2"/>
        <w:rPr>
          <w:b/>
        </w:rPr>
      </w:pPr>
      <w:r w:rsidRPr="00CB0702">
        <w:rPr>
          <w:b/>
        </w:rPr>
        <w:t>Task force members:</w:t>
      </w:r>
    </w:p>
    <w:tbl>
      <w:tblPr>
        <w:tblStyle w:val="TableGrid"/>
        <w:tblW w:w="0" w:type="auto"/>
        <w:tblLook w:val="04A0" w:firstRow="1" w:lastRow="0" w:firstColumn="1" w:lastColumn="0" w:noHBand="0" w:noVBand="1"/>
      </w:tblPr>
      <w:tblGrid>
        <w:gridCol w:w="1525"/>
        <w:gridCol w:w="4708"/>
        <w:gridCol w:w="3117"/>
      </w:tblGrid>
      <w:tr w:rsidR="00323D2D" w:rsidTr="00323D2D">
        <w:tc>
          <w:tcPr>
            <w:tcW w:w="1525" w:type="dxa"/>
          </w:tcPr>
          <w:p w:rsidR="00323D2D" w:rsidRPr="00204502" w:rsidRDefault="00323D2D" w:rsidP="00323D2D">
            <w:pPr>
              <w:pStyle w:val="NoSpacing"/>
              <w:jc w:val="center"/>
              <w:rPr>
                <w:highlight w:val="yellow"/>
              </w:rPr>
            </w:pPr>
            <w:r w:rsidRPr="00204502">
              <w:rPr>
                <w:highlight w:val="yellow"/>
              </w:rPr>
              <w:t>IC</w:t>
            </w:r>
          </w:p>
        </w:tc>
        <w:tc>
          <w:tcPr>
            <w:tcW w:w="4708" w:type="dxa"/>
          </w:tcPr>
          <w:p w:rsidR="00323D2D" w:rsidRPr="00204502" w:rsidRDefault="00323D2D" w:rsidP="00323D2D">
            <w:pPr>
              <w:pStyle w:val="NoSpacing"/>
              <w:jc w:val="center"/>
              <w:rPr>
                <w:highlight w:val="yellow"/>
              </w:rPr>
            </w:pPr>
            <w:r w:rsidRPr="00204502">
              <w:rPr>
                <w:highlight w:val="yellow"/>
              </w:rPr>
              <w:t>Sharon Buck - Peninsula</w:t>
            </w:r>
          </w:p>
        </w:tc>
        <w:tc>
          <w:tcPr>
            <w:tcW w:w="3117" w:type="dxa"/>
          </w:tcPr>
          <w:p w:rsidR="00323D2D" w:rsidRPr="00204502" w:rsidRDefault="005C2AF2" w:rsidP="00323D2D">
            <w:pPr>
              <w:pStyle w:val="NoSpacing"/>
              <w:jc w:val="center"/>
              <w:rPr>
                <w:highlight w:val="yellow"/>
              </w:rPr>
            </w:pPr>
            <w:hyperlink r:id="rId9" w:history="1">
              <w:r w:rsidR="00323D2D" w:rsidRPr="00204502">
                <w:rPr>
                  <w:rStyle w:val="Hyperlink"/>
                  <w:highlight w:val="yellow"/>
                </w:rPr>
                <w:t>sbuck@pencol.edu</w:t>
              </w:r>
            </w:hyperlink>
            <w:r w:rsidR="00323D2D" w:rsidRPr="00204502">
              <w:rPr>
                <w:highlight w:val="yellow"/>
              </w:rPr>
              <w:t xml:space="preserve"> </w:t>
            </w:r>
          </w:p>
        </w:tc>
      </w:tr>
      <w:tr w:rsidR="00323D2D" w:rsidTr="00323D2D">
        <w:tc>
          <w:tcPr>
            <w:tcW w:w="1525" w:type="dxa"/>
          </w:tcPr>
          <w:p w:rsidR="00323D2D" w:rsidRPr="00204502" w:rsidRDefault="00323D2D" w:rsidP="00323D2D">
            <w:pPr>
              <w:pStyle w:val="NoSpacing"/>
              <w:jc w:val="center"/>
              <w:rPr>
                <w:highlight w:val="yellow"/>
              </w:rPr>
            </w:pPr>
            <w:r w:rsidRPr="00204502">
              <w:rPr>
                <w:highlight w:val="yellow"/>
              </w:rPr>
              <w:t>IC</w:t>
            </w:r>
          </w:p>
        </w:tc>
        <w:tc>
          <w:tcPr>
            <w:tcW w:w="4708" w:type="dxa"/>
          </w:tcPr>
          <w:p w:rsidR="00323D2D" w:rsidRPr="00204502" w:rsidRDefault="00323D2D" w:rsidP="00323D2D">
            <w:pPr>
              <w:pStyle w:val="NoSpacing"/>
              <w:jc w:val="center"/>
              <w:rPr>
                <w:highlight w:val="yellow"/>
              </w:rPr>
            </w:pPr>
            <w:r w:rsidRPr="00204502">
              <w:rPr>
                <w:highlight w:val="yellow"/>
              </w:rPr>
              <w:t>Rebecca Williamson – Green River</w:t>
            </w:r>
          </w:p>
        </w:tc>
        <w:tc>
          <w:tcPr>
            <w:tcW w:w="3117" w:type="dxa"/>
          </w:tcPr>
          <w:p w:rsidR="00323D2D" w:rsidRPr="00204502" w:rsidRDefault="005C2AF2" w:rsidP="00323D2D">
            <w:pPr>
              <w:pStyle w:val="NoSpacing"/>
              <w:jc w:val="center"/>
              <w:rPr>
                <w:highlight w:val="yellow"/>
              </w:rPr>
            </w:pPr>
            <w:hyperlink r:id="rId10" w:history="1">
              <w:r w:rsidR="00323D2D" w:rsidRPr="00204502">
                <w:rPr>
                  <w:rStyle w:val="Hyperlink"/>
                  <w:highlight w:val="yellow"/>
                </w:rPr>
                <w:t>Rwilliamson@greenriver.edu</w:t>
              </w:r>
            </w:hyperlink>
            <w:r w:rsidR="00323D2D" w:rsidRPr="00204502">
              <w:rPr>
                <w:highlight w:val="yellow"/>
              </w:rPr>
              <w:t xml:space="preserve"> </w:t>
            </w:r>
          </w:p>
        </w:tc>
      </w:tr>
      <w:tr w:rsidR="00323D2D" w:rsidTr="00323D2D">
        <w:tc>
          <w:tcPr>
            <w:tcW w:w="1525" w:type="dxa"/>
          </w:tcPr>
          <w:p w:rsidR="00323D2D" w:rsidRDefault="00323D2D" w:rsidP="00323D2D">
            <w:pPr>
              <w:pStyle w:val="NoSpacing"/>
              <w:jc w:val="center"/>
            </w:pPr>
            <w:r>
              <w:t>RPC</w:t>
            </w:r>
          </w:p>
        </w:tc>
        <w:tc>
          <w:tcPr>
            <w:tcW w:w="4708" w:type="dxa"/>
          </w:tcPr>
          <w:p w:rsidR="00323D2D" w:rsidRDefault="00323D2D" w:rsidP="00323D2D">
            <w:pPr>
              <w:pStyle w:val="NoSpacing"/>
              <w:jc w:val="center"/>
            </w:pPr>
            <w:r>
              <w:t xml:space="preserve">Joshua </w:t>
            </w:r>
            <w:proofErr w:type="spellStart"/>
            <w:r>
              <w:t>Slepin</w:t>
            </w:r>
            <w:proofErr w:type="spellEnd"/>
            <w:r>
              <w:t xml:space="preserve"> – Walla Walla</w:t>
            </w:r>
          </w:p>
        </w:tc>
        <w:tc>
          <w:tcPr>
            <w:tcW w:w="3117" w:type="dxa"/>
          </w:tcPr>
          <w:p w:rsidR="00323D2D" w:rsidRDefault="005C2AF2" w:rsidP="00323D2D">
            <w:pPr>
              <w:pStyle w:val="NoSpacing"/>
              <w:jc w:val="center"/>
            </w:pPr>
            <w:hyperlink r:id="rId11" w:history="1">
              <w:r w:rsidR="00323D2D" w:rsidRPr="00E62F85">
                <w:rPr>
                  <w:rStyle w:val="Hyperlink"/>
                </w:rPr>
                <w:t>Joshua.slepin@wwcc.edu</w:t>
              </w:r>
            </w:hyperlink>
            <w:r w:rsidR="00323D2D">
              <w:t xml:space="preserve"> </w:t>
            </w:r>
          </w:p>
        </w:tc>
      </w:tr>
      <w:tr w:rsidR="00323D2D" w:rsidTr="00323D2D">
        <w:tc>
          <w:tcPr>
            <w:tcW w:w="1525" w:type="dxa"/>
          </w:tcPr>
          <w:p w:rsidR="00323D2D" w:rsidRDefault="00323D2D" w:rsidP="00323D2D">
            <w:pPr>
              <w:pStyle w:val="NoSpacing"/>
              <w:jc w:val="center"/>
            </w:pPr>
            <w:r>
              <w:t>RPC</w:t>
            </w:r>
          </w:p>
        </w:tc>
        <w:tc>
          <w:tcPr>
            <w:tcW w:w="4708" w:type="dxa"/>
          </w:tcPr>
          <w:p w:rsidR="00323D2D" w:rsidRDefault="00323D2D" w:rsidP="00323D2D">
            <w:pPr>
              <w:pStyle w:val="NoSpacing"/>
              <w:jc w:val="center"/>
            </w:pPr>
            <w:r>
              <w:t>Juliet Scarpa – Now vacant</w:t>
            </w:r>
          </w:p>
        </w:tc>
        <w:tc>
          <w:tcPr>
            <w:tcW w:w="3117" w:type="dxa"/>
          </w:tcPr>
          <w:p w:rsidR="00323D2D" w:rsidRDefault="00323D2D" w:rsidP="00323D2D">
            <w:pPr>
              <w:pStyle w:val="NoSpacing"/>
              <w:jc w:val="center"/>
            </w:pPr>
          </w:p>
        </w:tc>
      </w:tr>
      <w:tr w:rsidR="00323D2D" w:rsidTr="00323D2D">
        <w:tc>
          <w:tcPr>
            <w:tcW w:w="1525" w:type="dxa"/>
          </w:tcPr>
          <w:p w:rsidR="00323D2D" w:rsidRPr="00204502" w:rsidRDefault="00323D2D" w:rsidP="00323D2D">
            <w:pPr>
              <w:pStyle w:val="NoSpacing"/>
              <w:jc w:val="center"/>
              <w:rPr>
                <w:highlight w:val="yellow"/>
              </w:rPr>
            </w:pPr>
            <w:r w:rsidRPr="00204502">
              <w:rPr>
                <w:highlight w:val="yellow"/>
              </w:rPr>
              <w:t>ATC</w:t>
            </w:r>
          </w:p>
        </w:tc>
        <w:tc>
          <w:tcPr>
            <w:tcW w:w="4708" w:type="dxa"/>
          </w:tcPr>
          <w:p w:rsidR="00323D2D" w:rsidRPr="00204502" w:rsidRDefault="00323D2D" w:rsidP="00323D2D">
            <w:pPr>
              <w:jc w:val="center"/>
              <w:rPr>
                <w:rFonts w:ascii="Calibri" w:hAnsi="Calibri"/>
                <w:color w:val="000000"/>
                <w:highlight w:val="yellow"/>
              </w:rPr>
            </w:pPr>
            <w:r w:rsidRPr="00204502">
              <w:rPr>
                <w:rFonts w:ascii="Calibri" w:hAnsi="Calibri"/>
                <w:color w:val="000000"/>
                <w:highlight w:val="yellow"/>
              </w:rPr>
              <w:t>Val Sundby-Thorp – South Puget Sound</w:t>
            </w:r>
          </w:p>
        </w:tc>
        <w:tc>
          <w:tcPr>
            <w:tcW w:w="3117" w:type="dxa"/>
          </w:tcPr>
          <w:p w:rsidR="00323D2D" w:rsidRPr="00204502" w:rsidRDefault="005C2AF2" w:rsidP="00323D2D">
            <w:pPr>
              <w:pStyle w:val="NoSpacing"/>
              <w:jc w:val="center"/>
              <w:rPr>
                <w:highlight w:val="yellow"/>
              </w:rPr>
            </w:pPr>
            <w:hyperlink r:id="rId12" w:history="1">
              <w:r w:rsidR="00323D2D" w:rsidRPr="00204502">
                <w:rPr>
                  <w:rStyle w:val="Hyperlink"/>
                  <w:highlight w:val="yellow"/>
                </w:rPr>
                <w:t>Vsundby-thorp@spscc.edu</w:t>
              </w:r>
            </w:hyperlink>
            <w:r w:rsidR="00323D2D" w:rsidRPr="00204502">
              <w:rPr>
                <w:highlight w:val="yellow"/>
              </w:rPr>
              <w:t xml:space="preserve"> </w:t>
            </w:r>
          </w:p>
        </w:tc>
      </w:tr>
      <w:tr w:rsidR="00323D2D" w:rsidTr="00323D2D">
        <w:tc>
          <w:tcPr>
            <w:tcW w:w="1525" w:type="dxa"/>
          </w:tcPr>
          <w:p w:rsidR="00323D2D" w:rsidRPr="00204502" w:rsidRDefault="00323D2D" w:rsidP="00323D2D">
            <w:pPr>
              <w:pStyle w:val="NoSpacing"/>
              <w:jc w:val="center"/>
              <w:rPr>
                <w:highlight w:val="yellow"/>
              </w:rPr>
            </w:pPr>
            <w:r w:rsidRPr="00204502">
              <w:rPr>
                <w:highlight w:val="yellow"/>
              </w:rPr>
              <w:t>ATC</w:t>
            </w:r>
          </w:p>
        </w:tc>
        <w:tc>
          <w:tcPr>
            <w:tcW w:w="4708" w:type="dxa"/>
          </w:tcPr>
          <w:p w:rsidR="00323D2D" w:rsidRPr="00204502" w:rsidRDefault="00323D2D" w:rsidP="00323D2D">
            <w:pPr>
              <w:pStyle w:val="NoSpacing"/>
              <w:jc w:val="center"/>
              <w:rPr>
                <w:highlight w:val="yellow"/>
              </w:rPr>
            </w:pPr>
            <w:r w:rsidRPr="00204502">
              <w:rPr>
                <w:highlight w:val="yellow"/>
              </w:rPr>
              <w:t xml:space="preserve">Peter Williams – Clark </w:t>
            </w:r>
          </w:p>
        </w:tc>
        <w:tc>
          <w:tcPr>
            <w:tcW w:w="3117" w:type="dxa"/>
          </w:tcPr>
          <w:p w:rsidR="00323D2D" w:rsidRPr="00204502" w:rsidRDefault="005C2AF2" w:rsidP="00323D2D">
            <w:pPr>
              <w:pStyle w:val="NoSpacing"/>
              <w:jc w:val="center"/>
              <w:rPr>
                <w:highlight w:val="yellow"/>
              </w:rPr>
            </w:pPr>
            <w:hyperlink r:id="rId13" w:history="1">
              <w:r w:rsidR="00323D2D" w:rsidRPr="00204502">
                <w:rPr>
                  <w:rStyle w:val="Hyperlink"/>
                  <w:highlight w:val="yellow"/>
                </w:rPr>
                <w:t>pgwilliams@clark.edu</w:t>
              </w:r>
            </w:hyperlink>
            <w:r w:rsidR="00323D2D" w:rsidRPr="00204502">
              <w:rPr>
                <w:highlight w:val="yellow"/>
              </w:rPr>
              <w:t xml:space="preserve"> </w:t>
            </w:r>
          </w:p>
        </w:tc>
      </w:tr>
      <w:tr w:rsidR="00323D2D" w:rsidTr="00323D2D">
        <w:tc>
          <w:tcPr>
            <w:tcW w:w="1525" w:type="dxa"/>
          </w:tcPr>
          <w:p w:rsidR="00323D2D" w:rsidRPr="00204502" w:rsidRDefault="00323D2D" w:rsidP="00323D2D">
            <w:pPr>
              <w:pStyle w:val="NoSpacing"/>
              <w:jc w:val="center"/>
              <w:rPr>
                <w:highlight w:val="yellow"/>
              </w:rPr>
            </w:pPr>
            <w:r w:rsidRPr="00204502">
              <w:rPr>
                <w:highlight w:val="yellow"/>
              </w:rPr>
              <w:t>BLC</w:t>
            </w:r>
          </w:p>
        </w:tc>
        <w:tc>
          <w:tcPr>
            <w:tcW w:w="4708" w:type="dxa"/>
          </w:tcPr>
          <w:p w:rsidR="00323D2D" w:rsidRPr="00204502" w:rsidRDefault="00323D2D" w:rsidP="00323D2D">
            <w:pPr>
              <w:pStyle w:val="NoSpacing"/>
              <w:jc w:val="center"/>
              <w:rPr>
                <w:highlight w:val="yellow"/>
              </w:rPr>
            </w:pPr>
            <w:r w:rsidRPr="00204502">
              <w:rPr>
                <w:highlight w:val="yellow"/>
              </w:rPr>
              <w:t>Mike Potter – Lake Washington</w:t>
            </w:r>
          </w:p>
        </w:tc>
        <w:tc>
          <w:tcPr>
            <w:tcW w:w="3117" w:type="dxa"/>
          </w:tcPr>
          <w:p w:rsidR="00323D2D" w:rsidRPr="00204502" w:rsidRDefault="005C2AF2" w:rsidP="00323D2D">
            <w:pPr>
              <w:pStyle w:val="NoSpacing"/>
              <w:jc w:val="center"/>
              <w:rPr>
                <w:highlight w:val="yellow"/>
              </w:rPr>
            </w:pPr>
            <w:hyperlink r:id="rId14" w:history="1">
              <w:r w:rsidR="00323D2D" w:rsidRPr="00204502">
                <w:rPr>
                  <w:rStyle w:val="Hyperlink"/>
                  <w:highlight w:val="yellow"/>
                </w:rPr>
                <w:t>mike.potter@lwtech.edu</w:t>
              </w:r>
            </w:hyperlink>
            <w:r w:rsidR="00323D2D" w:rsidRPr="00204502">
              <w:rPr>
                <w:highlight w:val="yellow"/>
              </w:rPr>
              <w:t xml:space="preserve"> </w:t>
            </w:r>
          </w:p>
        </w:tc>
      </w:tr>
      <w:tr w:rsidR="00323D2D" w:rsidTr="00323D2D">
        <w:tc>
          <w:tcPr>
            <w:tcW w:w="1525" w:type="dxa"/>
          </w:tcPr>
          <w:p w:rsidR="00323D2D" w:rsidRDefault="00323D2D" w:rsidP="00323D2D">
            <w:pPr>
              <w:pStyle w:val="NoSpacing"/>
              <w:jc w:val="center"/>
            </w:pPr>
            <w:r>
              <w:t>CBS</w:t>
            </w:r>
          </w:p>
        </w:tc>
        <w:tc>
          <w:tcPr>
            <w:tcW w:w="4708" w:type="dxa"/>
          </w:tcPr>
          <w:p w:rsidR="00323D2D" w:rsidRDefault="00323D2D" w:rsidP="00323D2D">
            <w:pPr>
              <w:pStyle w:val="NoSpacing"/>
              <w:jc w:val="center"/>
            </w:pPr>
            <w:r>
              <w:t>Theresa Stalick – Lower Columbia</w:t>
            </w:r>
          </w:p>
        </w:tc>
        <w:tc>
          <w:tcPr>
            <w:tcW w:w="3117" w:type="dxa"/>
          </w:tcPr>
          <w:p w:rsidR="00323D2D" w:rsidRDefault="005C2AF2" w:rsidP="00323D2D">
            <w:pPr>
              <w:pStyle w:val="NoSpacing"/>
              <w:jc w:val="center"/>
            </w:pPr>
            <w:hyperlink r:id="rId15" w:history="1">
              <w:r w:rsidR="00323D2D" w:rsidRPr="00E62F85">
                <w:rPr>
                  <w:rStyle w:val="Hyperlink"/>
                </w:rPr>
                <w:t>tstalick@lcc.ctc.edu</w:t>
              </w:r>
            </w:hyperlink>
            <w:r w:rsidR="00323D2D">
              <w:t xml:space="preserve"> </w:t>
            </w:r>
          </w:p>
        </w:tc>
      </w:tr>
      <w:tr w:rsidR="00323D2D" w:rsidTr="00323D2D">
        <w:tc>
          <w:tcPr>
            <w:tcW w:w="1525" w:type="dxa"/>
          </w:tcPr>
          <w:p w:rsidR="00323D2D" w:rsidRDefault="00323D2D" w:rsidP="00323D2D">
            <w:pPr>
              <w:pStyle w:val="NoSpacing"/>
              <w:jc w:val="center"/>
            </w:pPr>
            <w:r>
              <w:t>CBS</w:t>
            </w:r>
          </w:p>
        </w:tc>
        <w:tc>
          <w:tcPr>
            <w:tcW w:w="4708" w:type="dxa"/>
          </w:tcPr>
          <w:p w:rsidR="00323D2D" w:rsidRDefault="00323D2D" w:rsidP="00323D2D">
            <w:pPr>
              <w:pStyle w:val="NoSpacing"/>
              <w:jc w:val="center"/>
            </w:pPr>
            <w:r>
              <w:t xml:space="preserve">Will Durden – SBCTC </w:t>
            </w:r>
          </w:p>
        </w:tc>
        <w:tc>
          <w:tcPr>
            <w:tcW w:w="3117" w:type="dxa"/>
          </w:tcPr>
          <w:p w:rsidR="00323D2D" w:rsidRDefault="005C2AF2" w:rsidP="00323D2D">
            <w:pPr>
              <w:pStyle w:val="NoSpacing"/>
              <w:jc w:val="center"/>
            </w:pPr>
            <w:hyperlink r:id="rId16" w:history="1">
              <w:r w:rsidR="00323D2D" w:rsidRPr="00E62F85">
                <w:rPr>
                  <w:rStyle w:val="Hyperlink"/>
                </w:rPr>
                <w:t>wdurden@sbctc.edu</w:t>
              </w:r>
            </w:hyperlink>
            <w:r w:rsidR="00323D2D">
              <w:t xml:space="preserve"> </w:t>
            </w:r>
          </w:p>
        </w:tc>
      </w:tr>
      <w:tr w:rsidR="00323D2D" w:rsidTr="00323D2D">
        <w:tc>
          <w:tcPr>
            <w:tcW w:w="1525" w:type="dxa"/>
          </w:tcPr>
          <w:p w:rsidR="00323D2D" w:rsidRDefault="00323D2D" w:rsidP="00323D2D">
            <w:pPr>
              <w:pStyle w:val="NoSpacing"/>
              <w:jc w:val="center"/>
            </w:pPr>
            <w:r>
              <w:t>WEC</w:t>
            </w:r>
          </w:p>
        </w:tc>
        <w:tc>
          <w:tcPr>
            <w:tcW w:w="4708" w:type="dxa"/>
          </w:tcPr>
          <w:p w:rsidR="00323D2D" w:rsidRDefault="00323D2D" w:rsidP="00323D2D">
            <w:pPr>
              <w:pStyle w:val="NoSpacing"/>
              <w:jc w:val="center"/>
            </w:pPr>
            <w:r>
              <w:t>Lynnette Bennett – Skagit Valley</w:t>
            </w:r>
          </w:p>
        </w:tc>
        <w:tc>
          <w:tcPr>
            <w:tcW w:w="3117" w:type="dxa"/>
          </w:tcPr>
          <w:p w:rsidR="00323D2D" w:rsidRDefault="005C2AF2" w:rsidP="00323D2D">
            <w:pPr>
              <w:pStyle w:val="NoSpacing"/>
              <w:jc w:val="center"/>
            </w:pPr>
            <w:hyperlink r:id="rId17" w:history="1">
              <w:r w:rsidR="00323D2D" w:rsidRPr="00E62F85">
                <w:rPr>
                  <w:rStyle w:val="Hyperlink"/>
                </w:rPr>
                <w:t>lynnette.bennett@skagit.edu</w:t>
              </w:r>
            </w:hyperlink>
            <w:r w:rsidR="00323D2D">
              <w:t xml:space="preserve"> </w:t>
            </w:r>
          </w:p>
        </w:tc>
      </w:tr>
      <w:tr w:rsidR="00323D2D" w:rsidTr="00323D2D">
        <w:tc>
          <w:tcPr>
            <w:tcW w:w="1525" w:type="dxa"/>
          </w:tcPr>
          <w:p w:rsidR="00323D2D" w:rsidRDefault="00323D2D" w:rsidP="00323D2D">
            <w:pPr>
              <w:pStyle w:val="NoSpacing"/>
              <w:jc w:val="center"/>
            </w:pPr>
            <w:r>
              <w:t>WEC</w:t>
            </w:r>
          </w:p>
        </w:tc>
        <w:tc>
          <w:tcPr>
            <w:tcW w:w="4708" w:type="dxa"/>
          </w:tcPr>
          <w:p w:rsidR="00323D2D" w:rsidRDefault="00323D2D" w:rsidP="00323D2D">
            <w:pPr>
              <w:pStyle w:val="NoSpacing"/>
              <w:jc w:val="center"/>
            </w:pPr>
            <w:r>
              <w:t>Terry Cox – Edmonds</w:t>
            </w:r>
          </w:p>
        </w:tc>
        <w:tc>
          <w:tcPr>
            <w:tcW w:w="3117" w:type="dxa"/>
          </w:tcPr>
          <w:p w:rsidR="00323D2D" w:rsidRDefault="005C2AF2" w:rsidP="00323D2D">
            <w:pPr>
              <w:pStyle w:val="NoSpacing"/>
              <w:jc w:val="center"/>
            </w:pPr>
            <w:hyperlink r:id="rId18" w:history="1">
              <w:r w:rsidR="00323D2D" w:rsidRPr="00E62F85">
                <w:rPr>
                  <w:rStyle w:val="Hyperlink"/>
                </w:rPr>
                <w:t>terry.cox@email.edcc.edu</w:t>
              </w:r>
            </w:hyperlink>
            <w:r w:rsidR="00323D2D">
              <w:t xml:space="preserve"> </w:t>
            </w:r>
          </w:p>
        </w:tc>
      </w:tr>
      <w:tr w:rsidR="00323D2D" w:rsidTr="00323D2D">
        <w:tc>
          <w:tcPr>
            <w:tcW w:w="1525" w:type="dxa"/>
          </w:tcPr>
          <w:p w:rsidR="00323D2D" w:rsidRDefault="00323D2D" w:rsidP="00323D2D">
            <w:pPr>
              <w:pStyle w:val="NoSpacing"/>
              <w:jc w:val="center"/>
            </w:pPr>
            <w:r>
              <w:t>WEC</w:t>
            </w:r>
          </w:p>
        </w:tc>
        <w:tc>
          <w:tcPr>
            <w:tcW w:w="4708" w:type="dxa"/>
          </w:tcPr>
          <w:p w:rsidR="00323D2D" w:rsidRDefault="00323D2D" w:rsidP="00323D2D">
            <w:pPr>
              <w:pStyle w:val="NoSpacing"/>
              <w:jc w:val="center"/>
            </w:pPr>
            <w:r>
              <w:t>Ryan Davis – Now vacant</w:t>
            </w:r>
          </w:p>
        </w:tc>
        <w:tc>
          <w:tcPr>
            <w:tcW w:w="3117" w:type="dxa"/>
          </w:tcPr>
          <w:p w:rsidR="00323D2D" w:rsidRDefault="00323D2D" w:rsidP="00323D2D">
            <w:pPr>
              <w:pStyle w:val="NoSpacing"/>
              <w:jc w:val="center"/>
            </w:pPr>
          </w:p>
        </w:tc>
      </w:tr>
      <w:tr w:rsidR="00323D2D" w:rsidTr="00323D2D">
        <w:tc>
          <w:tcPr>
            <w:tcW w:w="1525" w:type="dxa"/>
          </w:tcPr>
          <w:p w:rsidR="00323D2D" w:rsidRDefault="00323D2D" w:rsidP="00323D2D">
            <w:pPr>
              <w:pStyle w:val="NoSpacing"/>
              <w:jc w:val="center"/>
            </w:pPr>
            <w:r>
              <w:t>SBCTC</w:t>
            </w:r>
          </w:p>
        </w:tc>
        <w:tc>
          <w:tcPr>
            <w:tcW w:w="4708" w:type="dxa"/>
          </w:tcPr>
          <w:p w:rsidR="00323D2D" w:rsidRDefault="00323D2D" w:rsidP="00323D2D">
            <w:pPr>
              <w:pStyle w:val="NoSpacing"/>
              <w:jc w:val="center"/>
            </w:pPr>
            <w:r>
              <w:t xml:space="preserve">Kathy Goebel </w:t>
            </w:r>
          </w:p>
        </w:tc>
        <w:tc>
          <w:tcPr>
            <w:tcW w:w="3117" w:type="dxa"/>
          </w:tcPr>
          <w:p w:rsidR="00323D2D" w:rsidRDefault="005C2AF2" w:rsidP="00323D2D">
            <w:pPr>
              <w:pStyle w:val="NoSpacing"/>
              <w:jc w:val="center"/>
            </w:pPr>
            <w:hyperlink r:id="rId19" w:history="1">
              <w:r w:rsidR="00323D2D" w:rsidRPr="00E62F85">
                <w:rPr>
                  <w:rStyle w:val="Hyperlink"/>
                </w:rPr>
                <w:t>kgoebel@sbctc.edu</w:t>
              </w:r>
            </w:hyperlink>
            <w:r w:rsidR="00323D2D">
              <w:t xml:space="preserve"> </w:t>
            </w:r>
          </w:p>
        </w:tc>
      </w:tr>
      <w:tr w:rsidR="00323D2D" w:rsidTr="00323D2D">
        <w:tc>
          <w:tcPr>
            <w:tcW w:w="1525" w:type="dxa"/>
          </w:tcPr>
          <w:p w:rsidR="00323D2D" w:rsidRDefault="00323D2D" w:rsidP="00323D2D">
            <w:pPr>
              <w:pStyle w:val="NoSpacing"/>
              <w:jc w:val="center"/>
            </w:pPr>
            <w:r>
              <w:t>SBCTC</w:t>
            </w:r>
          </w:p>
        </w:tc>
        <w:tc>
          <w:tcPr>
            <w:tcW w:w="4708" w:type="dxa"/>
          </w:tcPr>
          <w:p w:rsidR="00323D2D" w:rsidRDefault="00323D2D" w:rsidP="00323D2D">
            <w:pPr>
              <w:pStyle w:val="NoSpacing"/>
              <w:jc w:val="center"/>
            </w:pPr>
            <w:r>
              <w:t>Mason Norman</w:t>
            </w:r>
          </w:p>
        </w:tc>
        <w:tc>
          <w:tcPr>
            <w:tcW w:w="3117" w:type="dxa"/>
          </w:tcPr>
          <w:p w:rsidR="00323D2D" w:rsidRDefault="005C2AF2" w:rsidP="00323D2D">
            <w:pPr>
              <w:pStyle w:val="NoSpacing"/>
              <w:jc w:val="center"/>
            </w:pPr>
            <w:hyperlink r:id="rId20" w:history="1">
              <w:r w:rsidR="00323D2D" w:rsidRPr="00E62F85">
                <w:rPr>
                  <w:rStyle w:val="Hyperlink"/>
                </w:rPr>
                <w:t>mnorman@sbctc.edu</w:t>
              </w:r>
            </w:hyperlink>
            <w:r w:rsidR="00323D2D">
              <w:t xml:space="preserve"> </w:t>
            </w:r>
          </w:p>
        </w:tc>
      </w:tr>
    </w:tbl>
    <w:p w:rsidR="00323D2D" w:rsidRDefault="00323D2D" w:rsidP="00323D2D">
      <w:pPr>
        <w:pStyle w:val="NoSpacing"/>
      </w:pPr>
    </w:p>
    <w:p w:rsidR="002C1D06" w:rsidRDefault="002C1D06" w:rsidP="00323D2D">
      <w:pPr>
        <w:pStyle w:val="NoSpacing"/>
      </w:pPr>
    </w:p>
    <w:p w:rsidR="00323D2D" w:rsidRPr="00CB0702" w:rsidRDefault="00323D2D" w:rsidP="00323D2D">
      <w:pPr>
        <w:pStyle w:val="Heading2"/>
        <w:rPr>
          <w:b/>
        </w:rPr>
      </w:pPr>
      <w:r w:rsidRPr="00CB0702">
        <w:rPr>
          <w:b/>
        </w:rPr>
        <w:t>Timeline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323D2D" w:rsidTr="00323D2D">
        <w:tc>
          <w:tcPr>
            <w:tcW w:w="2065" w:type="dxa"/>
          </w:tcPr>
          <w:p w:rsidR="00323D2D" w:rsidRDefault="00323D2D" w:rsidP="007F2418">
            <w:pPr>
              <w:pStyle w:val="NoSpacing"/>
            </w:pPr>
            <w:r>
              <w:t>Nov. – Dec. 2017</w:t>
            </w:r>
          </w:p>
        </w:tc>
        <w:tc>
          <w:tcPr>
            <w:tcW w:w="7285" w:type="dxa"/>
          </w:tcPr>
          <w:p w:rsidR="00323D2D" w:rsidRDefault="00323D2D" w:rsidP="00323D2D">
            <w:pPr>
              <w:pStyle w:val="NoSpacing"/>
            </w:pPr>
            <w:r>
              <w:t>Task force will meet to discuss and incorporate feedback from fall meetings.</w:t>
            </w:r>
          </w:p>
          <w:p w:rsidR="000F19B7" w:rsidRDefault="000F19B7" w:rsidP="00323D2D">
            <w:pPr>
              <w:pStyle w:val="NoSpacing"/>
            </w:pPr>
          </w:p>
        </w:tc>
      </w:tr>
      <w:tr w:rsidR="00323D2D" w:rsidTr="00323D2D">
        <w:tc>
          <w:tcPr>
            <w:tcW w:w="2065" w:type="dxa"/>
          </w:tcPr>
          <w:p w:rsidR="00323D2D" w:rsidRDefault="00323D2D" w:rsidP="007F2418">
            <w:pPr>
              <w:pStyle w:val="NoSpacing"/>
            </w:pPr>
            <w:r>
              <w:t>Jan. 2018</w:t>
            </w:r>
          </w:p>
        </w:tc>
        <w:tc>
          <w:tcPr>
            <w:tcW w:w="7285" w:type="dxa"/>
          </w:tcPr>
          <w:p w:rsidR="00323D2D" w:rsidRDefault="00323D2D" w:rsidP="00323D2D">
            <w:pPr>
              <w:pStyle w:val="NoSpacing"/>
            </w:pPr>
            <w:r>
              <w:t xml:space="preserve">Task force will solicit </w:t>
            </w:r>
            <w:r w:rsidR="00CB0702">
              <w:t xml:space="preserve">final </w:t>
            </w:r>
            <w:r>
              <w:t>feedback from commission &amp; council members.</w:t>
            </w:r>
          </w:p>
          <w:p w:rsidR="000F19B7" w:rsidRDefault="000F19B7" w:rsidP="00323D2D">
            <w:pPr>
              <w:pStyle w:val="NoSpacing"/>
            </w:pPr>
          </w:p>
        </w:tc>
      </w:tr>
      <w:tr w:rsidR="00323D2D" w:rsidTr="00323D2D">
        <w:tc>
          <w:tcPr>
            <w:tcW w:w="2065" w:type="dxa"/>
          </w:tcPr>
          <w:p w:rsidR="00323D2D" w:rsidRDefault="00323D2D" w:rsidP="007F2418">
            <w:pPr>
              <w:pStyle w:val="NoSpacing"/>
            </w:pPr>
            <w:r>
              <w:t>Feb. 2018</w:t>
            </w:r>
          </w:p>
        </w:tc>
        <w:tc>
          <w:tcPr>
            <w:tcW w:w="7285" w:type="dxa"/>
          </w:tcPr>
          <w:p w:rsidR="00323D2D" w:rsidRDefault="00323D2D" w:rsidP="007F2418">
            <w:pPr>
              <w:pStyle w:val="NoSpacing"/>
            </w:pPr>
            <w:r>
              <w:t>Input will be analyzed and recommendations revised</w:t>
            </w:r>
            <w:r w:rsidR="00CB0702">
              <w:t>.</w:t>
            </w:r>
          </w:p>
          <w:p w:rsidR="000F19B7" w:rsidRDefault="000F19B7" w:rsidP="007F2418">
            <w:pPr>
              <w:pStyle w:val="NoSpacing"/>
            </w:pPr>
          </w:p>
        </w:tc>
      </w:tr>
      <w:tr w:rsidR="00323D2D" w:rsidTr="00323D2D">
        <w:tc>
          <w:tcPr>
            <w:tcW w:w="2065" w:type="dxa"/>
          </w:tcPr>
          <w:p w:rsidR="00323D2D" w:rsidRDefault="00323D2D" w:rsidP="007F2418">
            <w:pPr>
              <w:pStyle w:val="NoSpacing"/>
            </w:pPr>
            <w:r>
              <w:t>Mar. 2018</w:t>
            </w:r>
          </w:p>
        </w:tc>
        <w:tc>
          <w:tcPr>
            <w:tcW w:w="7285" w:type="dxa"/>
          </w:tcPr>
          <w:p w:rsidR="00323D2D" w:rsidRDefault="00323D2D" w:rsidP="007F2418">
            <w:pPr>
              <w:pStyle w:val="NoSpacing"/>
            </w:pPr>
            <w:r>
              <w:t>Instruction Commission will discuss revised recommendations</w:t>
            </w:r>
            <w:r w:rsidR="00CB0702">
              <w:t>.</w:t>
            </w:r>
          </w:p>
          <w:p w:rsidR="000F19B7" w:rsidRDefault="000F19B7" w:rsidP="007F2418">
            <w:pPr>
              <w:pStyle w:val="NoSpacing"/>
            </w:pPr>
          </w:p>
        </w:tc>
      </w:tr>
      <w:tr w:rsidR="00323D2D" w:rsidTr="00323D2D">
        <w:tc>
          <w:tcPr>
            <w:tcW w:w="2065" w:type="dxa"/>
          </w:tcPr>
          <w:p w:rsidR="00323D2D" w:rsidRPr="00204502" w:rsidRDefault="00323D2D" w:rsidP="007F2418">
            <w:pPr>
              <w:pStyle w:val="NoSpacing"/>
              <w:rPr>
                <w:highlight w:val="yellow"/>
              </w:rPr>
            </w:pPr>
            <w:r w:rsidRPr="00204502">
              <w:rPr>
                <w:highlight w:val="yellow"/>
              </w:rPr>
              <w:t>Spr. Qtr. 2018</w:t>
            </w:r>
          </w:p>
        </w:tc>
        <w:tc>
          <w:tcPr>
            <w:tcW w:w="7285" w:type="dxa"/>
          </w:tcPr>
          <w:p w:rsidR="00323D2D" w:rsidRPr="00204502" w:rsidRDefault="00323D2D" w:rsidP="007F2418">
            <w:pPr>
              <w:pStyle w:val="NoSpacing"/>
              <w:rPr>
                <w:highlight w:val="yellow"/>
              </w:rPr>
            </w:pPr>
            <w:r w:rsidRPr="00204502">
              <w:rPr>
                <w:highlight w:val="yellow"/>
              </w:rPr>
              <w:t>Instruction Commission will consider adoption of the recommendations</w:t>
            </w:r>
            <w:r w:rsidR="00CB0702" w:rsidRPr="00204502">
              <w:rPr>
                <w:highlight w:val="yellow"/>
              </w:rPr>
              <w:t>.</w:t>
            </w:r>
          </w:p>
          <w:p w:rsidR="000F19B7" w:rsidRPr="00204502" w:rsidRDefault="000F19B7" w:rsidP="007F2418">
            <w:pPr>
              <w:pStyle w:val="NoSpacing"/>
              <w:rPr>
                <w:highlight w:val="yellow"/>
              </w:rPr>
            </w:pPr>
          </w:p>
        </w:tc>
      </w:tr>
      <w:tr w:rsidR="00323D2D" w:rsidTr="00323D2D">
        <w:tc>
          <w:tcPr>
            <w:tcW w:w="2065" w:type="dxa"/>
          </w:tcPr>
          <w:p w:rsidR="00323D2D" w:rsidRPr="00204502" w:rsidRDefault="00323D2D" w:rsidP="007F2418">
            <w:pPr>
              <w:pStyle w:val="NoSpacing"/>
              <w:rPr>
                <w:highlight w:val="yellow"/>
              </w:rPr>
            </w:pPr>
            <w:r w:rsidRPr="00204502">
              <w:rPr>
                <w:highlight w:val="yellow"/>
              </w:rPr>
              <w:t>Win. – Sum. 2018</w:t>
            </w:r>
          </w:p>
        </w:tc>
        <w:tc>
          <w:tcPr>
            <w:tcW w:w="7285" w:type="dxa"/>
          </w:tcPr>
          <w:p w:rsidR="00323D2D" w:rsidRPr="00204502" w:rsidRDefault="00CB0702" w:rsidP="00DC0C87">
            <w:pPr>
              <w:pStyle w:val="NoSpacing"/>
              <w:rPr>
                <w:highlight w:val="yellow"/>
              </w:rPr>
            </w:pPr>
            <w:r w:rsidRPr="00204502">
              <w:rPr>
                <w:highlight w:val="yellow"/>
              </w:rPr>
              <w:t>Implementation</w:t>
            </w:r>
            <w:r w:rsidR="00323D2D" w:rsidRPr="00204502">
              <w:rPr>
                <w:highlight w:val="yellow"/>
              </w:rPr>
              <w:t xml:space="preserve"> task force will design the program approval application</w:t>
            </w:r>
            <w:r w:rsidRPr="00204502">
              <w:rPr>
                <w:highlight w:val="yellow"/>
              </w:rPr>
              <w:t>.</w:t>
            </w:r>
          </w:p>
          <w:p w:rsidR="000F19B7" w:rsidRPr="00204502" w:rsidRDefault="000F19B7" w:rsidP="00DC0C87">
            <w:pPr>
              <w:pStyle w:val="NoSpacing"/>
              <w:rPr>
                <w:highlight w:val="yellow"/>
              </w:rPr>
            </w:pPr>
          </w:p>
        </w:tc>
      </w:tr>
      <w:tr w:rsidR="00323D2D" w:rsidTr="00323D2D">
        <w:tc>
          <w:tcPr>
            <w:tcW w:w="2065" w:type="dxa"/>
          </w:tcPr>
          <w:p w:rsidR="00323D2D" w:rsidRPr="00204502" w:rsidRDefault="00323D2D" w:rsidP="007F2418">
            <w:pPr>
              <w:pStyle w:val="NoSpacing"/>
              <w:rPr>
                <w:highlight w:val="yellow"/>
              </w:rPr>
            </w:pPr>
            <w:r w:rsidRPr="00204502">
              <w:rPr>
                <w:highlight w:val="yellow"/>
              </w:rPr>
              <w:t>Sum. – Win 2018-19</w:t>
            </w:r>
          </w:p>
        </w:tc>
        <w:tc>
          <w:tcPr>
            <w:tcW w:w="7285" w:type="dxa"/>
          </w:tcPr>
          <w:p w:rsidR="00323D2D" w:rsidRPr="00204502" w:rsidRDefault="00323D2D" w:rsidP="007F2418">
            <w:pPr>
              <w:pStyle w:val="NoSpacing"/>
              <w:rPr>
                <w:highlight w:val="yellow"/>
              </w:rPr>
            </w:pPr>
            <w:r w:rsidRPr="00204502">
              <w:rPr>
                <w:highlight w:val="yellow"/>
              </w:rPr>
              <w:t>If approved by IC, online application will go into development &amp; testing</w:t>
            </w:r>
            <w:r w:rsidR="00CB0702" w:rsidRPr="00204502">
              <w:rPr>
                <w:highlight w:val="yellow"/>
              </w:rPr>
              <w:t>.</w:t>
            </w:r>
          </w:p>
          <w:p w:rsidR="000F19B7" w:rsidRPr="00204502" w:rsidRDefault="000F19B7" w:rsidP="007F2418">
            <w:pPr>
              <w:pStyle w:val="NoSpacing"/>
              <w:rPr>
                <w:highlight w:val="yellow"/>
              </w:rPr>
            </w:pPr>
          </w:p>
        </w:tc>
      </w:tr>
      <w:tr w:rsidR="00323D2D" w:rsidTr="00323D2D">
        <w:tc>
          <w:tcPr>
            <w:tcW w:w="2065" w:type="dxa"/>
          </w:tcPr>
          <w:p w:rsidR="00323D2D" w:rsidRPr="00204502" w:rsidRDefault="00CB0702" w:rsidP="007F2418">
            <w:pPr>
              <w:pStyle w:val="NoSpacing"/>
              <w:rPr>
                <w:highlight w:val="yellow"/>
              </w:rPr>
            </w:pPr>
            <w:r w:rsidRPr="00204502">
              <w:rPr>
                <w:highlight w:val="yellow"/>
              </w:rPr>
              <w:t xml:space="preserve">Spring </w:t>
            </w:r>
            <w:r w:rsidR="00323D2D" w:rsidRPr="00204502">
              <w:rPr>
                <w:highlight w:val="yellow"/>
              </w:rPr>
              <w:t>2019</w:t>
            </w:r>
          </w:p>
        </w:tc>
        <w:tc>
          <w:tcPr>
            <w:tcW w:w="7285" w:type="dxa"/>
          </w:tcPr>
          <w:p w:rsidR="00323D2D" w:rsidRPr="00204502" w:rsidRDefault="00323D2D" w:rsidP="007F2418">
            <w:pPr>
              <w:pStyle w:val="NoSpacing"/>
              <w:rPr>
                <w:highlight w:val="yellow"/>
              </w:rPr>
            </w:pPr>
            <w:r w:rsidRPr="00204502">
              <w:rPr>
                <w:highlight w:val="yellow"/>
              </w:rPr>
              <w:t>Online application and program inventory will be fully implemented</w:t>
            </w:r>
            <w:r w:rsidR="00DC0C87" w:rsidRPr="00204502">
              <w:rPr>
                <w:highlight w:val="yellow"/>
              </w:rPr>
              <w:t>.</w:t>
            </w:r>
          </w:p>
        </w:tc>
      </w:tr>
    </w:tbl>
    <w:p w:rsidR="00323D2D" w:rsidRPr="00C0597A" w:rsidRDefault="00323D2D" w:rsidP="000C46E4">
      <w:pPr>
        <w:rPr>
          <w:color w:val="FF0000"/>
        </w:rPr>
      </w:pPr>
    </w:p>
    <w:sectPr w:rsidR="00323D2D" w:rsidRPr="00C0597A" w:rsidSect="007876A0">
      <w:headerReference w:type="even" r:id="rId21"/>
      <w:footerReference w:type="default" r:id="rId22"/>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AF2" w:rsidRDefault="005C2AF2" w:rsidP="00323D2D">
      <w:pPr>
        <w:spacing w:after="0" w:line="240" w:lineRule="auto"/>
      </w:pPr>
      <w:r>
        <w:separator/>
      </w:r>
    </w:p>
  </w:endnote>
  <w:endnote w:type="continuationSeparator" w:id="0">
    <w:p w:rsidR="005C2AF2" w:rsidRDefault="005C2AF2" w:rsidP="0032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D2D" w:rsidRDefault="00323D2D">
    <w:pPr>
      <w:pStyle w:val="Footer"/>
    </w:pPr>
    <w:r>
      <w:rPr>
        <w:noProof/>
      </w:rPr>
      <mc:AlternateContent>
        <mc:Choice Requires="wps">
          <w:drawing>
            <wp:anchor distT="182880" distB="182880" distL="114300" distR="114300" simplePos="0" relativeHeight="251659264" behindDoc="0" locked="0" layoutInCell="1" allowOverlap="0">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6"/>
                            <w:gridCol w:w="8696"/>
                            <w:gridCol w:w="468"/>
                          </w:tblGrid>
                          <w:tr w:rsidR="00323D2D">
                            <w:trPr>
                              <w:trHeight w:hRule="exact" w:val="360"/>
                            </w:trPr>
                            <w:tc>
                              <w:tcPr>
                                <w:tcW w:w="100" w:type="pct"/>
                                <w:shd w:val="clear" w:color="auto" w:fill="5B9BD5" w:themeFill="accent1"/>
                                <w:vAlign w:val="center"/>
                              </w:tcPr>
                              <w:p w:rsidR="00323D2D" w:rsidRDefault="00323D2D">
                                <w:pPr>
                                  <w:pStyle w:val="Footer"/>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p w:rsidR="00323D2D" w:rsidRDefault="00323D2D">
                                <w:pPr>
                                  <w:pStyle w:val="Footer"/>
                                  <w:tabs>
                                    <w:tab w:val="clear" w:pos="4680"/>
                                    <w:tab w:val="clear" w:pos="9360"/>
                                  </w:tabs>
                                  <w:spacing w:before="40" w:after="40"/>
                                  <w:ind w:left="144" w:right="144"/>
                                  <w:rPr>
                                    <w:color w:val="FFFFFF" w:themeColor="background1"/>
                                  </w:rPr>
                                </w:pPr>
                              </w:p>
                            </w:tc>
                            <w:tc>
                              <w:tcPr>
                                <w:tcW w:w="250" w:type="pct"/>
                                <w:shd w:val="clear" w:color="auto" w:fill="5B9BD5" w:themeFill="accent1"/>
                                <w:vAlign w:val="center"/>
                              </w:tcPr>
                              <w:p w:rsidR="00323D2D" w:rsidRDefault="00323D2D">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30B0B">
                                  <w:rPr>
                                    <w:noProof/>
                                    <w:color w:val="FFFFFF" w:themeColor="background1"/>
                                  </w:rPr>
                                  <w:t>3</w:t>
                                </w:r>
                                <w:r>
                                  <w:rPr>
                                    <w:noProof/>
                                    <w:color w:val="FFFFFF" w:themeColor="background1"/>
                                  </w:rPr>
                                  <w:fldChar w:fldCharType="end"/>
                                </w:r>
                              </w:p>
                            </w:tc>
                          </w:tr>
                        </w:tbl>
                        <w:p w:rsidR="00323D2D" w:rsidRDefault="00323D2D">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6"/>
                      <w:gridCol w:w="8696"/>
                      <w:gridCol w:w="468"/>
                    </w:tblGrid>
                    <w:tr w:rsidR="00323D2D">
                      <w:trPr>
                        <w:trHeight w:hRule="exact" w:val="360"/>
                      </w:trPr>
                      <w:tc>
                        <w:tcPr>
                          <w:tcW w:w="100" w:type="pct"/>
                          <w:shd w:val="clear" w:color="auto" w:fill="5B9BD5" w:themeFill="accent1"/>
                          <w:vAlign w:val="center"/>
                        </w:tcPr>
                        <w:p w:rsidR="00323D2D" w:rsidRDefault="00323D2D">
                          <w:pPr>
                            <w:pStyle w:val="Footer"/>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p w:rsidR="00323D2D" w:rsidRDefault="00323D2D">
                          <w:pPr>
                            <w:pStyle w:val="Footer"/>
                            <w:tabs>
                              <w:tab w:val="clear" w:pos="4680"/>
                              <w:tab w:val="clear" w:pos="9360"/>
                            </w:tabs>
                            <w:spacing w:before="40" w:after="40"/>
                            <w:ind w:left="144" w:right="144"/>
                            <w:rPr>
                              <w:color w:val="FFFFFF" w:themeColor="background1"/>
                            </w:rPr>
                          </w:pPr>
                        </w:p>
                      </w:tc>
                      <w:tc>
                        <w:tcPr>
                          <w:tcW w:w="250" w:type="pct"/>
                          <w:shd w:val="clear" w:color="auto" w:fill="5B9BD5" w:themeFill="accent1"/>
                          <w:vAlign w:val="center"/>
                        </w:tcPr>
                        <w:p w:rsidR="00323D2D" w:rsidRDefault="00323D2D">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30B0B">
                            <w:rPr>
                              <w:noProof/>
                              <w:color w:val="FFFFFF" w:themeColor="background1"/>
                            </w:rPr>
                            <w:t>3</w:t>
                          </w:r>
                          <w:r>
                            <w:rPr>
                              <w:noProof/>
                              <w:color w:val="FFFFFF" w:themeColor="background1"/>
                            </w:rPr>
                            <w:fldChar w:fldCharType="end"/>
                          </w:r>
                        </w:p>
                      </w:tc>
                    </w:tr>
                  </w:tbl>
                  <w:p w:rsidR="00323D2D" w:rsidRDefault="00323D2D">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AF2" w:rsidRDefault="005C2AF2" w:rsidP="00323D2D">
      <w:pPr>
        <w:spacing w:after="0" w:line="240" w:lineRule="auto"/>
      </w:pPr>
      <w:r>
        <w:separator/>
      </w:r>
    </w:p>
  </w:footnote>
  <w:footnote w:type="continuationSeparator" w:id="0">
    <w:p w:rsidR="005C2AF2" w:rsidRDefault="005C2AF2" w:rsidP="00323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D2D" w:rsidRDefault="00323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7098"/>
    <w:multiLevelType w:val="hybridMultilevel"/>
    <w:tmpl w:val="7B9C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B4407"/>
    <w:multiLevelType w:val="hybridMultilevel"/>
    <w:tmpl w:val="ABBCC326"/>
    <w:lvl w:ilvl="0" w:tplc="AE2A13B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11E17"/>
    <w:multiLevelType w:val="hybridMultilevel"/>
    <w:tmpl w:val="FAE2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E663A"/>
    <w:multiLevelType w:val="hybridMultilevel"/>
    <w:tmpl w:val="2F2E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F70DC6"/>
    <w:multiLevelType w:val="hybridMultilevel"/>
    <w:tmpl w:val="0CC2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B34"/>
    <w:rsid w:val="0000004B"/>
    <w:rsid w:val="000C46E4"/>
    <w:rsid w:val="000F19B7"/>
    <w:rsid w:val="00204502"/>
    <w:rsid w:val="00253B34"/>
    <w:rsid w:val="002969C5"/>
    <w:rsid w:val="002C1D06"/>
    <w:rsid w:val="00317AB2"/>
    <w:rsid w:val="00323D2D"/>
    <w:rsid w:val="00330B0B"/>
    <w:rsid w:val="00336D4B"/>
    <w:rsid w:val="0041048B"/>
    <w:rsid w:val="00471872"/>
    <w:rsid w:val="004728FB"/>
    <w:rsid w:val="004A487F"/>
    <w:rsid w:val="005C2AF2"/>
    <w:rsid w:val="005E4162"/>
    <w:rsid w:val="005E4318"/>
    <w:rsid w:val="005F0AA3"/>
    <w:rsid w:val="00607B56"/>
    <w:rsid w:val="00637FDD"/>
    <w:rsid w:val="00664528"/>
    <w:rsid w:val="00686DC3"/>
    <w:rsid w:val="0076650A"/>
    <w:rsid w:val="00786777"/>
    <w:rsid w:val="007876A0"/>
    <w:rsid w:val="00826B38"/>
    <w:rsid w:val="008407E4"/>
    <w:rsid w:val="00846C71"/>
    <w:rsid w:val="00894F50"/>
    <w:rsid w:val="009867B6"/>
    <w:rsid w:val="00A22DF8"/>
    <w:rsid w:val="00A546EC"/>
    <w:rsid w:val="00AE75F1"/>
    <w:rsid w:val="00B1346F"/>
    <w:rsid w:val="00B7343E"/>
    <w:rsid w:val="00BA5B68"/>
    <w:rsid w:val="00BE03A9"/>
    <w:rsid w:val="00BF5582"/>
    <w:rsid w:val="00C0597A"/>
    <w:rsid w:val="00CA41B4"/>
    <w:rsid w:val="00CB0702"/>
    <w:rsid w:val="00D63368"/>
    <w:rsid w:val="00DC0C87"/>
    <w:rsid w:val="00DF71BB"/>
    <w:rsid w:val="00DF7B78"/>
    <w:rsid w:val="00E300C8"/>
    <w:rsid w:val="00ED15B2"/>
    <w:rsid w:val="00F54FA9"/>
    <w:rsid w:val="00FA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F2C2C-B0FF-49AB-ACAD-1448C8B5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B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2F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B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2FF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0597A"/>
    <w:pPr>
      <w:ind w:left="720"/>
      <w:contextualSpacing/>
    </w:pPr>
  </w:style>
  <w:style w:type="paragraph" w:styleId="NoSpacing">
    <w:name w:val="No Spacing"/>
    <w:uiPriority w:val="1"/>
    <w:qFormat/>
    <w:rsid w:val="00C0597A"/>
    <w:pPr>
      <w:spacing w:after="0" w:line="240" w:lineRule="auto"/>
    </w:pPr>
  </w:style>
  <w:style w:type="table" w:styleId="TableGrid">
    <w:name w:val="Table Grid"/>
    <w:basedOn w:val="TableNormal"/>
    <w:uiPriority w:val="59"/>
    <w:rsid w:val="00DF7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3D2D"/>
    <w:rPr>
      <w:color w:val="0563C1" w:themeColor="hyperlink"/>
      <w:u w:val="single"/>
    </w:rPr>
  </w:style>
  <w:style w:type="paragraph" w:styleId="Header">
    <w:name w:val="header"/>
    <w:basedOn w:val="Normal"/>
    <w:link w:val="HeaderChar"/>
    <w:uiPriority w:val="99"/>
    <w:unhideWhenUsed/>
    <w:rsid w:val="00323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D2D"/>
  </w:style>
  <w:style w:type="paragraph" w:styleId="Footer">
    <w:name w:val="footer"/>
    <w:basedOn w:val="Normal"/>
    <w:link w:val="FooterChar"/>
    <w:uiPriority w:val="99"/>
    <w:unhideWhenUsed/>
    <w:qFormat/>
    <w:rsid w:val="00323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D2D"/>
  </w:style>
  <w:style w:type="paragraph" w:styleId="BalloonText">
    <w:name w:val="Balloon Text"/>
    <w:basedOn w:val="Normal"/>
    <w:link w:val="BalloonTextChar"/>
    <w:uiPriority w:val="99"/>
    <w:semiHidden/>
    <w:unhideWhenUsed/>
    <w:rsid w:val="00323D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D2D"/>
    <w:rPr>
      <w:rFonts w:ascii="Segoe UI" w:hAnsi="Segoe UI" w:cs="Segoe UI"/>
      <w:sz w:val="18"/>
      <w:szCs w:val="18"/>
    </w:rPr>
  </w:style>
  <w:style w:type="character" w:styleId="FollowedHyperlink">
    <w:name w:val="FollowedHyperlink"/>
    <w:basedOn w:val="DefaultParagraphFont"/>
    <w:uiPriority w:val="99"/>
    <w:semiHidden/>
    <w:unhideWhenUsed/>
    <w:rsid w:val="000C46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programs-services/professional-technical/default.aspx" TargetMode="External"/><Relationship Id="rId13" Type="http://schemas.openxmlformats.org/officeDocument/2006/relationships/hyperlink" Target="mailto:pgwilliams@clark.edu" TargetMode="External"/><Relationship Id="rId18" Type="http://schemas.openxmlformats.org/officeDocument/2006/relationships/hyperlink" Target="mailto:terry.cox@email.edcc.ed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sbctc.edu/colleges-staff/programs-services/professional-technical/default.aspx" TargetMode="External"/><Relationship Id="rId12" Type="http://schemas.openxmlformats.org/officeDocument/2006/relationships/hyperlink" Target="mailto:Vsundby-thorp@spscc.edu" TargetMode="External"/><Relationship Id="rId17" Type="http://schemas.openxmlformats.org/officeDocument/2006/relationships/hyperlink" Target="mailto:lynnette.bennett@skagit.edu" TargetMode="External"/><Relationship Id="rId2" Type="http://schemas.openxmlformats.org/officeDocument/2006/relationships/styles" Target="styles.xml"/><Relationship Id="rId16" Type="http://schemas.openxmlformats.org/officeDocument/2006/relationships/hyperlink" Target="mailto:wdurden@sbctc.edu" TargetMode="External"/><Relationship Id="rId20" Type="http://schemas.openxmlformats.org/officeDocument/2006/relationships/hyperlink" Target="mailto:mnorman@sbct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shua.slepin@wwcc.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tstalick@lcc.ctc.edu" TargetMode="External"/><Relationship Id="rId23" Type="http://schemas.openxmlformats.org/officeDocument/2006/relationships/fontTable" Target="fontTable.xml"/><Relationship Id="rId10" Type="http://schemas.openxmlformats.org/officeDocument/2006/relationships/hyperlink" Target="mailto:Rwilliamson@greenriver.edu" TargetMode="External"/><Relationship Id="rId19" Type="http://schemas.openxmlformats.org/officeDocument/2006/relationships/hyperlink" Target="mailto:kgoebel@sbctc.edu" TargetMode="External"/><Relationship Id="rId4" Type="http://schemas.openxmlformats.org/officeDocument/2006/relationships/webSettings" Target="webSettings.xml"/><Relationship Id="rId9" Type="http://schemas.openxmlformats.org/officeDocument/2006/relationships/hyperlink" Target="mailto:sbuck@pencol.edu" TargetMode="External"/><Relationship Id="rId14" Type="http://schemas.openxmlformats.org/officeDocument/2006/relationships/hyperlink" Target="mailto:mike.potter@lwtech.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Goebel</dc:creator>
  <cp:keywords/>
  <dc:description/>
  <cp:lastModifiedBy>Jamilyn Penn</cp:lastModifiedBy>
  <cp:revision>2</cp:revision>
  <cp:lastPrinted>2017-12-01T18:53:00Z</cp:lastPrinted>
  <dcterms:created xsi:type="dcterms:W3CDTF">2021-04-28T00:03:00Z</dcterms:created>
  <dcterms:modified xsi:type="dcterms:W3CDTF">2021-04-28T00:03:00Z</dcterms:modified>
</cp:coreProperties>
</file>