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7481" w14:textId="77777777" w:rsidR="00C32846" w:rsidRPr="00C32846" w:rsidRDefault="00C32846" w:rsidP="00C32846">
      <w:pPr>
        <w:tabs>
          <w:tab w:val="left" w:pos="720"/>
        </w:tabs>
        <w:spacing w:after="240" w:line="240" w:lineRule="auto"/>
        <w:jc w:val="center"/>
        <w:rPr>
          <w:rFonts w:ascii="Calibri" w:hAnsi="Calibri" w:cs="Calibri"/>
          <w:b/>
          <w:sz w:val="24"/>
          <w:szCs w:val="24"/>
        </w:rPr>
      </w:pPr>
      <w:r w:rsidRPr="00C32846">
        <w:rPr>
          <w:rFonts w:ascii="Calibri" w:hAnsi="Calibri" w:cs="Calibri"/>
          <w:b/>
          <w:sz w:val="24"/>
          <w:szCs w:val="24"/>
        </w:rPr>
        <w:t>Q and A for Career &amp; Training Services and FFR reports</w:t>
      </w:r>
    </w:p>
    <w:p w14:paraId="68A58EDE" w14:textId="3189A599" w:rsidR="00C32846" w:rsidRPr="00C32846" w:rsidRDefault="00C32846" w:rsidP="00C32846">
      <w:pPr>
        <w:tabs>
          <w:tab w:val="left" w:pos="720"/>
        </w:tabs>
        <w:spacing w:after="120" w:line="240" w:lineRule="auto"/>
        <w:ind w:left="720" w:hanging="720"/>
        <w:rPr>
          <w:rFonts w:ascii="Calibri" w:eastAsia="Times New Roman" w:hAnsi="Calibri" w:cs="Calibri"/>
          <w:sz w:val="24"/>
          <w:szCs w:val="24"/>
        </w:rPr>
      </w:pPr>
      <w:r w:rsidRPr="00C32846">
        <w:rPr>
          <w:rFonts w:ascii="Calibri" w:hAnsi="Calibri" w:cs="Calibri"/>
          <w:b/>
          <w:bCs/>
          <w:sz w:val="24"/>
          <w:szCs w:val="24"/>
        </w:rPr>
        <w:t>Q1</w:t>
      </w:r>
      <w:r>
        <w:rPr>
          <w:rFonts w:ascii="Calibri" w:hAnsi="Calibri" w:cs="Calibri"/>
          <w:b/>
          <w:bCs/>
          <w:sz w:val="24"/>
          <w:szCs w:val="24"/>
        </w:rPr>
        <w:tab/>
      </w:r>
      <w:r w:rsidRPr="00C32846">
        <w:rPr>
          <w:rFonts w:ascii="Calibri" w:eastAsia="Times New Roman" w:hAnsi="Calibri" w:cs="Calibri"/>
          <w:sz w:val="24"/>
          <w:szCs w:val="24"/>
        </w:rPr>
        <w:t>Could you please send out the script that you were reading from as it was a little fast for me to process.</w:t>
      </w:r>
    </w:p>
    <w:p w14:paraId="3266D3BC" w14:textId="66672EF2" w:rsidR="00C32846" w:rsidRPr="00C32846" w:rsidRDefault="00C32846" w:rsidP="00C32846">
      <w:pPr>
        <w:tabs>
          <w:tab w:val="left" w:pos="720"/>
        </w:tabs>
        <w:spacing w:after="120" w:line="240" w:lineRule="auto"/>
        <w:ind w:left="720" w:hanging="720"/>
        <w:rPr>
          <w:rFonts w:ascii="Calibri" w:hAnsi="Calibri" w:cs="Calibri"/>
          <w:sz w:val="24"/>
          <w:szCs w:val="24"/>
        </w:rPr>
      </w:pPr>
      <w:r w:rsidRPr="00C32846">
        <w:rPr>
          <w:rFonts w:ascii="Calibri" w:hAnsi="Calibri" w:cs="Calibri"/>
          <w:b/>
          <w:bCs/>
          <w:sz w:val="24"/>
          <w:szCs w:val="24"/>
        </w:rPr>
        <w:t>A1)</w:t>
      </w:r>
      <w:r>
        <w:rPr>
          <w:rFonts w:ascii="Calibri" w:hAnsi="Calibri" w:cs="Calibri"/>
          <w:sz w:val="24"/>
          <w:szCs w:val="24"/>
        </w:rPr>
        <w:tab/>
      </w:r>
      <w:r w:rsidRPr="00C32846">
        <w:rPr>
          <w:rFonts w:ascii="Calibri" w:hAnsi="Calibri" w:cs="Calibri"/>
          <w:b/>
          <w:bCs/>
          <w:sz w:val="24"/>
          <w:szCs w:val="24"/>
        </w:rPr>
        <w:t>The script is included in the PPT that was sent to CBS on Thursday, September 21</w:t>
      </w:r>
      <w:r w:rsidRPr="00C32846">
        <w:rPr>
          <w:rFonts w:ascii="Calibri" w:hAnsi="Calibri" w:cs="Calibri"/>
          <w:b/>
          <w:bCs/>
          <w:sz w:val="24"/>
          <w:szCs w:val="24"/>
          <w:vertAlign w:val="superscript"/>
        </w:rPr>
        <w:t>st</w:t>
      </w:r>
      <w:r w:rsidRPr="00C32846">
        <w:rPr>
          <w:rFonts w:ascii="Calibri" w:hAnsi="Calibri" w:cs="Calibri"/>
          <w:b/>
          <w:bCs/>
          <w:sz w:val="24"/>
          <w:szCs w:val="24"/>
        </w:rPr>
        <w:t>.</w:t>
      </w:r>
    </w:p>
    <w:p w14:paraId="76AE086C" w14:textId="7C9B5466" w:rsidR="00C32846" w:rsidRPr="00C32846" w:rsidRDefault="00C32846" w:rsidP="00C32846">
      <w:pPr>
        <w:tabs>
          <w:tab w:val="left" w:pos="720"/>
        </w:tabs>
        <w:spacing w:after="120" w:line="240" w:lineRule="auto"/>
        <w:ind w:left="720" w:hanging="720"/>
        <w:rPr>
          <w:rFonts w:ascii="Calibri" w:eastAsia="Times New Roman" w:hAnsi="Calibri" w:cs="Calibri"/>
          <w:sz w:val="24"/>
          <w:szCs w:val="24"/>
        </w:rPr>
      </w:pPr>
      <w:r w:rsidRPr="00C32846">
        <w:rPr>
          <w:rFonts w:ascii="Calibri" w:hAnsi="Calibri" w:cs="Calibri"/>
          <w:b/>
          <w:bCs/>
          <w:sz w:val="24"/>
          <w:szCs w:val="24"/>
        </w:rPr>
        <w:t>Q2)</w:t>
      </w:r>
      <w:r>
        <w:rPr>
          <w:rFonts w:ascii="Calibri" w:hAnsi="Calibri" w:cs="Calibri"/>
          <w:sz w:val="24"/>
          <w:szCs w:val="24"/>
        </w:rPr>
        <w:tab/>
      </w:r>
      <w:r w:rsidRPr="00C32846">
        <w:rPr>
          <w:rFonts w:ascii="Calibri" w:eastAsia="Times New Roman" w:hAnsi="Calibri" w:cs="Calibri"/>
          <w:sz w:val="24"/>
          <w:szCs w:val="24"/>
        </w:rPr>
        <w:t xml:space="preserve">Many colleges utilize non-BEdA federal funding sources to pay for IBEST instruction. Please clarify that in Section F we should only report federal dollars received through the BEdA Master grant. </w:t>
      </w:r>
    </w:p>
    <w:p w14:paraId="0D860E99" w14:textId="7C8C9954" w:rsidR="00C32846" w:rsidRPr="00C32846" w:rsidRDefault="00C32846" w:rsidP="00C32846">
      <w:pPr>
        <w:tabs>
          <w:tab w:val="left" w:pos="720"/>
        </w:tabs>
        <w:spacing w:after="120" w:line="240" w:lineRule="auto"/>
        <w:ind w:left="720" w:hanging="720"/>
        <w:rPr>
          <w:rFonts w:ascii="Calibri" w:hAnsi="Calibri" w:cs="Calibri"/>
          <w:b/>
          <w:bCs/>
          <w:sz w:val="24"/>
          <w:szCs w:val="24"/>
        </w:rPr>
      </w:pPr>
      <w:r w:rsidRPr="00C32846">
        <w:rPr>
          <w:rFonts w:ascii="Calibri" w:hAnsi="Calibri" w:cs="Calibri"/>
          <w:b/>
          <w:bCs/>
          <w:sz w:val="24"/>
          <w:szCs w:val="24"/>
        </w:rPr>
        <w:t>A2)</w:t>
      </w:r>
      <w:r>
        <w:rPr>
          <w:rFonts w:ascii="Calibri" w:hAnsi="Calibri" w:cs="Calibri"/>
          <w:b/>
          <w:bCs/>
          <w:sz w:val="24"/>
          <w:szCs w:val="24"/>
        </w:rPr>
        <w:tab/>
      </w:r>
      <w:r w:rsidRPr="00C32846">
        <w:rPr>
          <w:rFonts w:ascii="Calibri" w:hAnsi="Calibri" w:cs="Calibri"/>
          <w:b/>
          <w:bCs/>
          <w:sz w:val="24"/>
          <w:szCs w:val="24"/>
        </w:rPr>
        <w:t>For section F on the FFR documents, please only report any federal spending from the BEdA Master and/or IELCE grants.</w:t>
      </w:r>
      <w:r w:rsidRPr="00C32846">
        <w:rPr>
          <w:rFonts w:ascii="Calibri" w:hAnsi="Calibri" w:cs="Calibri"/>
          <w:sz w:val="24"/>
          <w:szCs w:val="24"/>
        </w:rPr>
        <w:t xml:space="preserve"> </w:t>
      </w:r>
    </w:p>
    <w:p w14:paraId="4B88B495" w14:textId="77777777" w:rsidR="00C32846" w:rsidRPr="00C32846" w:rsidRDefault="00C32846" w:rsidP="00C32846">
      <w:pPr>
        <w:tabs>
          <w:tab w:val="left" w:pos="720"/>
        </w:tabs>
        <w:spacing w:after="120" w:line="240" w:lineRule="auto"/>
        <w:ind w:left="720" w:hanging="720"/>
        <w:rPr>
          <w:rFonts w:ascii="Calibri" w:eastAsia="Times New Roman" w:hAnsi="Calibri" w:cs="Calibri"/>
          <w:sz w:val="24"/>
          <w:szCs w:val="24"/>
        </w:rPr>
      </w:pPr>
      <w:r w:rsidRPr="00C32846">
        <w:rPr>
          <w:rFonts w:ascii="Calibri" w:hAnsi="Calibri" w:cs="Calibri"/>
          <w:b/>
          <w:bCs/>
          <w:sz w:val="24"/>
          <w:szCs w:val="24"/>
        </w:rPr>
        <w:t>Q3)</w:t>
      </w:r>
      <w:r w:rsidRPr="00C32846">
        <w:rPr>
          <w:rFonts w:ascii="Calibri" w:hAnsi="Calibri" w:cs="Calibri"/>
          <w:sz w:val="24"/>
          <w:szCs w:val="24"/>
        </w:rPr>
        <w:tab/>
      </w:r>
      <w:r w:rsidRPr="00C32846">
        <w:rPr>
          <w:rFonts w:ascii="Calibri" w:eastAsia="Times New Roman" w:hAnsi="Calibri" w:cs="Calibri"/>
          <w:sz w:val="24"/>
          <w:szCs w:val="24"/>
        </w:rPr>
        <w:t>where do we put additional funds received from legislature for refugee assistance last year?</w:t>
      </w:r>
    </w:p>
    <w:p w14:paraId="5684A2C0" w14:textId="56F285B9" w:rsidR="00C32846" w:rsidRPr="00C32846" w:rsidRDefault="00C32846" w:rsidP="00C32846">
      <w:pPr>
        <w:tabs>
          <w:tab w:val="left" w:pos="720"/>
        </w:tabs>
        <w:spacing w:after="120" w:line="240" w:lineRule="auto"/>
        <w:ind w:left="720" w:hanging="720"/>
        <w:rPr>
          <w:rFonts w:ascii="Calibri" w:eastAsia="Times New Roman" w:hAnsi="Calibri" w:cs="Calibri"/>
          <w:b/>
          <w:bCs/>
          <w:sz w:val="24"/>
          <w:szCs w:val="24"/>
        </w:rPr>
      </w:pPr>
      <w:r w:rsidRPr="00C32846">
        <w:rPr>
          <w:rFonts w:ascii="Calibri" w:eastAsia="Times New Roman" w:hAnsi="Calibri" w:cs="Calibri"/>
          <w:b/>
          <w:bCs/>
          <w:sz w:val="24"/>
          <w:szCs w:val="24"/>
        </w:rPr>
        <w:t>A3)</w:t>
      </w:r>
      <w:r>
        <w:rPr>
          <w:rFonts w:ascii="Calibri" w:eastAsia="Times New Roman" w:hAnsi="Calibri" w:cs="Calibri"/>
          <w:b/>
          <w:bCs/>
          <w:sz w:val="24"/>
          <w:szCs w:val="24"/>
        </w:rPr>
        <w:tab/>
      </w:r>
      <w:r w:rsidRPr="00C32846">
        <w:rPr>
          <w:rFonts w:ascii="Calibri" w:eastAsia="Times New Roman" w:hAnsi="Calibri" w:cs="Calibri"/>
          <w:b/>
          <w:bCs/>
          <w:sz w:val="24"/>
          <w:szCs w:val="24"/>
        </w:rPr>
        <w:t>As these are state funds they are not reported to the feds unless you use them for match.</w:t>
      </w:r>
    </w:p>
    <w:p w14:paraId="39648BCC" w14:textId="0D8C4BC1" w:rsidR="00C32846" w:rsidRPr="00C32846" w:rsidRDefault="00C32846" w:rsidP="00C32846">
      <w:pPr>
        <w:tabs>
          <w:tab w:val="left" w:pos="720"/>
        </w:tabs>
        <w:spacing w:after="120" w:line="240" w:lineRule="auto"/>
        <w:ind w:left="720" w:hanging="720"/>
        <w:rPr>
          <w:rFonts w:ascii="Calibri" w:hAnsi="Calibri" w:cs="Calibri"/>
          <w:sz w:val="24"/>
          <w:szCs w:val="24"/>
        </w:rPr>
      </w:pPr>
      <w:r w:rsidRPr="00C32846">
        <w:rPr>
          <w:rFonts w:ascii="Calibri" w:eastAsia="Times New Roman" w:hAnsi="Calibri" w:cs="Calibri"/>
          <w:b/>
          <w:bCs/>
          <w:sz w:val="24"/>
          <w:szCs w:val="24"/>
        </w:rPr>
        <w:t>Q4)</w:t>
      </w:r>
      <w:r>
        <w:rPr>
          <w:rFonts w:ascii="Calibri" w:eastAsia="Times New Roman" w:hAnsi="Calibri" w:cs="Calibri"/>
          <w:sz w:val="24"/>
          <w:szCs w:val="24"/>
        </w:rPr>
        <w:tab/>
      </w:r>
      <w:r w:rsidRPr="00C32846">
        <w:rPr>
          <w:rFonts w:ascii="Calibri" w:hAnsi="Calibri" w:cs="Calibri"/>
          <w:sz w:val="24"/>
          <w:szCs w:val="24"/>
        </w:rPr>
        <w:t>If the services were provided to a student that became a participant later due to the career service activities do you include the funding provided as a 'core service' prior to participant status?</w:t>
      </w:r>
    </w:p>
    <w:p w14:paraId="6153E819" w14:textId="4F4855B8" w:rsidR="00C32846" w:rsidRPr="00C32846" w:rsidRDefault="00C32846" w:rsidP="00C32846">
      <w:pPr>
        <w:tabs>
          <w:tab w:val="left" w:pos="720"/>
        </w:tabs>
        <w:spacing w:after="120" w:line="240" w:lineRule="auto"/>
        <w:ind w:left="720" w:hanging="720"/>
        <w:rPr>
          <w:rFonts w:ascii="Calibri" w:hAnsi="Calibri" w:cs="Calibri"/>
          <w:b/>
          <w:bCs/>
          <w:sz w:val="24"/>
          <w:szCs w:val="24"/>
        </w:rPr>
      </w:pPr>
      <w:r w:rsidRPr="00C32846">
        <w:rPr>
          <w:rFonts w:ascii="Calibri" w:hAnsi="Calibri" w:cs="Calibri"/>
          <w:b/>
          <w:bCs/>
          <w:sz w:val="24"/>
          <w:szCs w:val="24"/>
        </w:rPr>
        <w:t>A4)</w:t>
      </w:r>
      <w:r>
        <w:rPr>
          <w:rFonts w:ascii="Calibri" w:hAnsi="Calibri" w:cs="Calibri"/>
          <w:b/>
          <w:bCs/>
          <w:sz w:val="24"/>
          <w:szCs w:val="24"/>
        </w:rPr>
        <w:tab/>
      </w:r>
      <w:r w:rsidRPr="00C32846">
        <w:rPr>
          <w:rFonts w:ascii="Calibri" w:hAnsi="Calibri" w:cs="Calibri"/>
          <w:b/>
          <w:bCs/>
          <w:sz w:val="24"/>
          <w:szCs w:val="24"/>
        </w:rPr>
        <w:t>Yes.</w:t>
      </w:r>
    </w:p>
    <w:p w14:paraId="6AFC02DC" w14:textId="086D3B24" w:rsidR="00C32846" w:rsidRPr="00C32846" w:rsidRDefault="00C32846" w:rsidP="00C32846">
      <w:pPr>
        <w:tabs>
          <w:tab w:val="left" w:pos="720"/>
        </w:tabs>
        <w:spacing w:after="120" w:line="240" w:lineRule="auto"/>
        <w:ind w:left="720" w:hanging="720"/>
        <w:rPr>
          <w:rFonts w:ascii="Calibri" w:eastAsia="Times New Roman" w:hAnsi="Calibri" w:cs="Calibri"/>
          <w:sz w:val="24"/>
          <w:szCs w:val="24"/>
        </w:rPr>
      </w:pPr>
      <w:r w:rsidRPr="00C32846">
        <w:rPr>
          <w:rFonts w:ascii="Calibri" w:hAnsi="Calibri" w:cs="Calibri"/>
          <w:b/>
          <w:bCs/>
          <w:sz w:val="24"/>
          <w:szCs w:val="24"/>
        </w:rPr>
        <w:t>Q5)</w:t>
      </w:r>
      <w:r>
        <w:rPr>
          <w:rFonts w:ascii="Calibri" w:hAnsi="Calibri" w:cs="Calibri"/>
          <w:b/>
          <w:bCs/>
          <w:sz w:val="24"/>
          <w:szCs w:val="24"/>
        </w:rPr>
        <w:tab/>
      </w:r>
      <w:r w:rsidRPr="00C32846">
        <w:rPr>
          <w:rFonts w:ascii="Calibri" w:hAnsi="Calibri" w:cs="Calibri"/>
          <w:sz w:val="24"/>
          <w:szCs w:val="24"/>
        </w:rPr>
        <w:t>If we are using IELCE funds for navigator, this would be 100% reportable as career services?</w:t>
      </w:r>
    </w:p>
    <w:p w14:paraId="6106B4D2" w14:textId="679A0420" w:rsidR="00C32846" w:rsidRPr="00C32846" w:rsidRDefault="00C32846" w:rsidP="00C32846">
      <w:pPr>
        <w:tabs>
          <w:tab w:val="left" w:pos="720"/>
        </w:tabs>
        <w:spacing w:after="120" w:line="240" w:lineRule="auto"/>
        <w:ind w:left="720" w:hanging="720"/>
        <w:rPr>
          <w:rFonts w:ascii="Calibri" w:hAnsi="Calibri" w:cs="Calibri"/>
          <w:b/>
          <w:bCs/>
          <w:sz w:val="24"/>
          <w:szCs w:val="24"/>
        </w:rPr>
      </w:pPr>
      <w:r w:rsidRPr="00C32846">
        <w:rPr>
          <w:rFonts w:ascii="Calibri" w:hAnsi="Calibri" w:cs="Calibri"/>
          <w:b/>
          <w:bCs/>
          <w:sz w:val="24"/>
          <w:szCs w:val="24"/>
        </w:rPr>
        <w:t>A5)</w:t>
      </w:r>
      <w:r>
        <w:rPr>
          <w:rFonts w:ascii="Calibri" w:hAnsi="Calibri" w:cs="Calibri"/>
          <w:b/>
          <w:bCs/>
          <w:sz w:val="24"/>
          <w:szCs w:val="24"/>
        </w:rPr>
        <w:tab/>
      </w:r>
      <w:r w:rsidRPr="00C32846">
        <w:rPr>
          <w:rFonts w:ascii="Calibri" w:hAnsi="Calibri" w:cs="Calibri"/>
          <w:b/>
          <w:bCs/>
          <w:sz w:val="24"/>
          <w:szCs w:val="24"/>
        </w:rPr>
        <w:t>Report the proportion of funds related to the amount of time spent offering career services.</w:t>
      </w:r>
    </w:p>
    <w:p w14:paraId="7D61CBEE" w14:textId="58009932" w:rsidR="00C32846" w:rsidRPr="00C32846" w:rsidRDefault="00C32846" w:rsidP="00C32846">
      <w:pPr>
        <w:tabs>
          <w:tab w:val="left" w:pos="720"/>
        </w:tabs>
        <w:spacing w:after="120" w:line="240" w:lineRule="auto"/>
        <w:ind w:left="720" w:hanging="720"/>
        <w:rPr>
          <w:rFonts w:ascii="Calibri" w:hAnsi="Calibri" w:cs="Calibri"/>
          <w:sz w:val="24"/>
          <w:szCs w:val="24"/>
        </w:rPr>
      </w:pPr>
      <w:r w:rsidRPr="00C32846">
        <w:rPr>
          <w:rFonts w:ascii="Calibri" w:hAnsi="Calibri" w:cs="Calibri"/>
          <w:b/>
          <w:bCs/>
          <w:sz w:val="24"/>
          <w:szCs w:val="24"/>
        </w:rPr>
        <w:t>Q6)</w:t>
      </w:r>
      <w:r>
        <w:rPr>
          <w:rFonts w:ascii="Calibri" w:hAnsi="Calibri" w:cs="Calibri"/>
          <w:b/>
          <w:bCs/>
          <w:sz w:val="24"/>
          <w:szCs w:val="24"/>
        </w:rPr>
        <w:tab/>
      </w:r>
      <w:r w:rsidRPr="00C32846">
        <w:rPr>
          <w:rFonts w:ascii="Calibri" w:hAnsi="Calibri" w:cs="Calibri"/>
          <w:sz w:val="24"/>
          <w:szCs w:val="24"/>
        </w:rPr>
        <w:t xml:space="preserve">The list of Career Services includes activities that are also supposed to be woven into the curriculum and therefore a part of teaching and not separated out. This also includes the intake, orientation, and getting started phase for most students. If our program doesn't have any official IET programs, do we have to separate out the time spent in these activities as Career Service? Although we don't charge intake time </w:t>
      </w:r>
      <w:proofErr w:type="gramStart"/>
      <w:r w:rsidRPr="00C32846">
        <w:rPr>
          <w:rFonts w:ascii="Calibri" w:hAnsi="Calibri" w:cs="Calibri"/>
          <w:sz w:val="24"/>
          <w:szCs w:val="24"/>
        </w:rPr>
        <w:t>to</w:t>
      </w:r>
      <w:proofErr w:type="gramEnd"/>
      <w:r w:rsidRPr="00C32846">
        <w:rPr>
          <w:rFonts w:ascii="Calibri" w:hAnsi="Calibri" w:cs="Calibri"/>
          <w:sz w:val="24"/>
          <w:szCs w:val="24"/>
        </w:rPr>
        <w:t xml:space="preserve"> the BEdA Master grant, they are woven into instruction time, which we do charge to the BEdA Master Grant.</w:t>
      </w:r>
    </w:p>
    <w:p w14:paraId="4E613462" w14:textId="7D0AB307" w:rsidR="00C32846" w:rsidRPr="00C32846" w:rsidRDefault="00C32846" w:rsidP="00C32846">
      <w:pPr>
        <w:tabs>
          <w:tab w:val="left" w:pos="720"/>
        </w:tabs>
        <w:spacing w:after="120" w:line="240" w:lineRule="auto"/>
        <w:ind w:left="720" w:hanging="720"/>
        <w:rPr>
          <w:rFonts w:ascii="Calibri" w:hAnsi="Calibri" w:cs="Calibri"/>
          <w:b/>
          <w:bCs/>
          <w:sz w:val="24"/>
          <w:szCs w:val="24"/>
        </w:rPr>
      </w:pPr>
      <w:r w:rsidRPr="00C32846">
        <w:rPr>
          <w:rFonts w:ascii="Calibri" w:hAnsi="Calibri" w:cs="Calibri"/>
          <w:b/>
          <w:bCs/>
          <w:sz w:val="24"/>
          <w:szCs w:val="24"/>
        </w:rPr>
        <w:t>A6)</w:t>
      </w:r>
      <w:r>
        <w:rPr>
          <w:rFonts w:ascii="Calibri" w:hAnsi="Calibri" w:cs="Calibri"/>
          <w:b/>
          <w:bCs/>
          <w:sz w:val="24"/>
          <w:szCs w:val="24"/>
        </w:rPr>
        <w:tab/>
      </w:r>
      <w:r w:rsidRPr="00C32846">
        <w:rPr>
          <w:rFonts w:ascii="Calibri" w:hAnsi="Calibri" w:cs="Calibri"/>
          <w:b/>
          <w:bCs/>
          <w:sz w:val="24"/>
          <w:szCs w:val="24"/>
        </w:rPr>
        <w:t>Report the proportion of funds related to the amount of time spent offering career services. Career Services reporting is not limited to IET programs. It relates to all participants.</w:t>
      </w:r>
    </w:p>
    <w:p w14:paraId="266C1FBB" w14:textId="5AA41870" w:rsidR="00C32846" w:rsidRPr="00C32846" w:rsidRDefault="00C32846" w:rsidP="00C32846">
      <w:pPr>
        <w:tabs>
          <w:tab w:val="left" w:pos="720"/>
        </w:tabs>
        <w:spacing w:after="120" w:line="240" w:lineRule="auto"/>
        <w:ind w:left="720" w:hanging="720"/>
        <w:rPr>
          <w:rFonts w:ascii="Calibri" w:hAnsi="Calibri" w:cs="Calibri"/>
          <w:sz w:val="24"/>
          <w:szCs w:val="24"/>
        </w:rPr>
      </w:pPr>
      <w:r w:rsidRPr="00C32846">
        <w:rPr>
          <w:rFonts w:ascii="Calibri" w:hAnsi="Calibri" w:cs="Calibri"/>
          <w:b/>
          <w:bCs/>
          <w:sz w:val="24"/>
          <w:szCs w:val="24"/>
        </w:rPr>
        <w:t>Q7)</w:t>
      </w:r>
      <w:r>
        <w:rPr>
          <w:rFonts w:ascii="Calibri" w:hAnsi="Calibri" w:cs="Calibri"/>
          <w:b/>
          <w:bCs/>
          <w:sz w:val="24"/>
          <w:szCs w:val="24"/>
        </w:rPr>
        <w:tab/>
      </w:r>
      <w:r w:rsidRPr="00C32846">
        <w:rPr>
          <w:rFonts w:ascii="Calibri" w:hAnsi="Calibri" w:cs="Calibri"/>
          <w:sz w:val="24"/>
          <w:szCs w:val="24"/>
        </w:rPr>
        <w:t>Please clarify what falls under the title as "Local Cash" (also in Recipient Share?)</w:t>
      </w:r>
    </w:p>
    <w:p w14:paraId="256CB691" w14:textId="164B7E84" w:rsidR="00C32846" w:rsidRPr="00C32846" w:rsidRDefault="00C32846" w:rsidP="00C32846">
      <w:pPr>
        <w:tabs>
          <w:tab w:val="left" w:pos="720"/>
        </w:tabs>
        <w:spacing w:after="120" w:line="240" w:lineRule="auto"/>
        <w:ind w:left="720" w:hanging="720"/>
        <w:rPr>
          <w:rFonts w:ascii="Calibri" w:eastAsia="Times New Roman" w:hAnsi="Calibri" w:cs="Calibri"/>
          <w:color w:val="0070C0"/>
          <w:sz w:val="24"/>
          <w:szCs w:val="24"/>
        </w:rPr>
      </w:pPr>
      <w:r w:rsidRPr="00C32846">
        <w:rPr>
          <w:rFonts w:ascii="Calibri" w:hAnsi="Calibri" w:cs="Calibri"/>
          <w:b/>
          <w:bCs/>
          <w:sz w:val="24"/>
          <w:szCs w:val="24"/>
        </w:rPr>
        <w:t>A7)</w:t>
      </w:r>
      <w:r>
        <w:rPr>
          <w:rFonts w:ascii="Calibri" w:hAnsi="Calibri" w:cs="Calibri"/>
          <w:b/>
          <w:bCs/>
          <w:sz w:val="24"/>
          <w:szCs w:val="24"/>
        </w:rPr>
        <w:tab/>
      </w:r>
      <w:r w:rsidRPr="00C32846">
        <w:rPr>
          <w:rFonts w:ascii="Calibri" w:hAnsi="Calibri" w:cs="Calibri"/>
          <w:b/>
          <w:bCs/>
          <w:sz w:val="24"/>
          <w:szCs w:val="24"/>
        </w:rPr>
        <w:t xml:space="preserve">Local funds vary by institution. Each institution’s business office should be able to help determine which, if any, local funds were spent to support administrative and </w:t>
      </w:r>
      <w:r w:rsidRPr="00C32846">
        <w:rPr>
          <w:rFonts w:ascii="Calibri" w:hAnsi="Calibri" w:cs="Calibri"/>
          <w:b/>
          <w:bCs/>
          <w:sz w:val="24"/>
          <w:szCs w:val="24"/>
        </w:rPr>
        <w:lastRenderedPageBreak/>
        <w:t>program costs for adult education activities (as defined in the Adult Education and Family Literacy Act).</w:t>
      </w:r>
    </w:p>
    <w:p w14:paraId="0710C740" w14:textId="2647D5B2" w:rsidR="00C32846" w:rsidRPr="00C32846" w:rsidRDefault="00C32846" w:rsidP="00C32846">
      <w:pPr>
        <w:tabs>
          <w:tab w:val="left" w:pos="720"/>
        </w:tabs>
        <w:spacing w:after="120" w:line="240" w:lineRule="auto"/>
        <w:ind w:left="720" w:hanging="720"/>
        <w:rPr>
          <w:rFonts w:ascii="Calibri" w:eastAsia="Times New Roman" w:hAnsi="Calibri" w:cs="Calibri"/>
          <w:color w:val="000000"/>
          <w:sz w:val="24"/>
          <w:szCs w:val="24"/>
        </w:rPr>
      </w:pPr>
      <w:r w:rsidRPr="00C32846">
        <w:rPr>
          <w:rFonts w:ascii="Calibri" w:hAnsi="Calibri" w:cs="Calibri"/>
          <w:b/>
          <w:bCs/>
          <w:sz w:val="24"/>
          <w:szCs w:val="24"/>
        </w:rPr>
        <w:t>Q8)</w:t>
      </w:r>
      <w:r>
        <w:rPr>
          <w:rFonts w:ascii="Calibri" w:hAnsi="Calibri" w:cs="Calibri"/>
          <w:b/>
          <w:bCs/>
          <w:sz w:val="24"/>
          <w:szCs w:val="24"/>
        </w:rPr>
        <w:tab/>
      </w:r>
      <w:r w:rsidRPr="00C32846">
        <w:rPr>
          <w:rFonts w:ascii="Calibri" w:eastAsia="Times New Roman" w:hAnsi="Calibri" w:cs="Calibri"/>
          <w:color w:val="000000"/>
          <w:sz w:val="24"/>
          <w:szCs w:val="24"/>
        </w:rPr>
        <w:t xml:space="preserve">In section 7b, should we include revenue generated from tuition and spent on program operations? </w:t>
      </w:r>
    </w:p>
    <w:p w14:paraId="29B89594" w14:textId="256DC4D1" w:rsidR="00C32846" w:rsidRPr="00C32846" w:rsidRDefault="00C32846" w:rsidP="00C32846">
      <w:pPr>
        <w:tabs>
          <w:tab w:val="left" w:pos="720"/>
        </w:tabs>
        <w:spacing w:after="120" w:line="240" w:lineRule="auto"/>
        <w:ind w:left="720" w:hanging="720"/>
        <w:rPr>
          <w:rFonts w:ascii="Calibri" w:eastAsia="Times New Roman" w:hAnsi="Calibri" w:cs="Calibri"/>
          <w:b/>
          <w:bCs/>
          <w:color w:val="000000"/>
          <w:sz w:val="24"/>
          <w:szCs w:val="24"/>
        </w:rPr>
      </w:pPr>
      <w:r w:rsidRPr="00C32846">
        <w:rPr>
          <w:rFonts w:ascii="Calibri" w:eastAsia="Times New Roman" w:hAnsi="Calibri" w:cs="Calibri"/>
          <w:b/>
          <w:bCs/>
          <w:color w:val="000000"/>
          <w:sz w:val="24"/>
          <w:szCs w:val="24"/>
        </w:rPr>
        <w:t>A8)</w:t>
      </w:r>
      <w:bookmarkStart w:id="0" w:name="_Hlk146547246"/>
      <w:r>
        <w:rPr>
          <w:rFonts w:ascii="Calibri" w:eastAsia="Times New Roman" w:hAnsi="Calibri" w:cs="Calibri"/>
          <w:color w:val="FF0000"/>
          <w:sz w:val="24"/>
          <w:szCs w:val="24"/>
        </w:rPr>
        <w:tab/>
      </w:r>
      <w:r w:rsidRPr="00C32846">
        <w:rPr>
          <w:rFonts w:ascii="Calibri" w:eastAsia="Times New Roman" w:hAnsi="Calibri" w:cs="Calibri"/>
          <w:b/>
          <w:bCs/>
          <w:sz w:val="24"/>
          <w:szCs w:val="24"/>
        </w:rPr>
        <w:t>More information is required to answer this question.  Please contact Denise Costello directly at</w:t>
      </w:r>
      <w:r w:rsidRPr="00C32846">
        <w:rPr>
          <w:rFonts w:ascii="Calibri" w:eastAsia="Times New Roman" w:hAnsi="Calibri" w:cs="Calibri"/>
          <w:sz w:val="24"/>
          <w:szCs w:val="24"/>
        </w:rPr>
        <w:t xml:space="preserve"> </w:t>
      </w:r>
      <w:hyperlink r:id="rId6" w:history="1">
        <w:r w:rsidRPr="00C32846">
          <w:rPr>
            <w:rStyle w:val="Hyperlink"/>
            <w:rFonts w:ascii="Calibri" w:eastAsia="Times New Roman" w:hAnsi="Calibri" w:cs="Calibri"/>
            <w:b/>
            <w:bCs/>
            <w:color w:val="0070C0"/>
            <w:sz w:val="24"/>
            <w:szCs w:val="24"/>
          </w:rPr>
          <w:t>dcostelllo@sbctc.edu</w:t>
        </w:r>
      </w:hyperlink>
      <w:r w:rsidRPr="00C32846">
        <w:rPr>
          <w:rFonts w:ascii="Calibri" w:eastAsia="Times New Roman" w:hAnsi="Calibri" w:cs="Calibri"/>
          <w:b/>
          <w:bCs/>
          <w:color w:val="0070C0"/>
          <w:sz w:val="24"/>
          <w:szCs w:val="24"/>
        </w:rPr>
        <w:t>.</w:t>
      </w:r>
      <w:bookmarkEnd w:id="0"/>
    </w:p>
    <w:p w14:paraId="294F1281" w14:textId="1BEA810A" w:rsidR="00C32846" w:rsidRPr="00C73AF1" w:rsidRDefault="00C32846" w:rsidP="00C32846">
      <w:pPr>
        <w:tabs>
          <w:tab w:val="left" w:pos="540"/>
          <w:tab w:val="left" w:pos="720"/>
        </w:tabs>
        <w:spacing w:after="120" w:line="240" w:lineRule="auto"/>
        <w:ind w:left="720"/>
        <w:rPr>
          <w:rFonts w:ascii="Calibri" w:hAnsi="Calibri" w:cs="Calibri"/>
          <w:i/>
          <w:iCs/>
          <w:sz w:val="24"/>
          <w:szCs w:val="24"/>
        </w:rPr>
      </w:pPr>
      <w:r w:rsidRPr="00C73AF1">
        <w:rPr>
          <w:rFonts w:ascii="Calibri" w:eastAsia="Times New Roman" w:hAnsi="Calibri" w:cs="Calibri"/>
          <w:b/>
          <w:bCs/>
          <w:color w:val="000000"/>
          <w:sz w:val="24"/>
          <w:szCs w:val="24"/>
        </w:rPr>
        <w:t>*</w:t>
      </w:r>
      <w:r w:rsidRPr="00C73AF1">
        <w:rPr>
          <w:rFonts w:ascii="Calibri" w:hAnsi="Calibri" w:cs="Calibri"/>
          <w:i/>
          <w:iCs/>
          <w:sz w:val="24"/>
          <w:szCs w:val="24"/>
        </w:rPr>
        <w:t>The SBCTC will update the answer for Q8 for all to see once clarification of the question is received.</w:t>
      </w:r>
    </w:p>
    <w:p w14:paraId="7576D7D3" w14:textId="16B459BA" w:rsidR="00C32846" w:rsidRPr="00C73AF1" w:rsidRDefault="00C32846" w:rsidP="00C32846">
      <w:pPr>
        <w:tabs>
          <w:tab w:val="left" w:pos="720"/>
        </w:tabs>
        <w:spacing w:after="120" w:line="240" w:lineRule="auto"/>
        <w:ind w:left="720" w:hanging="720"/>
        <w:rPr>
          <w:rFonts w:ascii="Calibri" w:eastAsia="Times New Roman" w:hAnsi="Calibri" w:cs="Calibri"/>
          <w:color w:val="000000"/>
          <w:sz w:val="24"/>
          <w:szCs w:val="24"/>
        </w:rPr>
      </w:pPr>
      <w:r w:rsidRPr="00C73AF1">
        <w:rPr>
          <w:rFonts w:ascii="Calibri" w:eastAsia="Times New Roman" w:hAnsi="Calibri" w:cs="Calibri"/>
          <w:b/>
          <w:bCs/>
          <w:color w:val="000000"/>
          <w:sz w:val="24"/>
          <w:szCs w:val="24"/>
        </w:rPr>
        <w:t>Q9)</w:t>
      </w:r>
      <w:r w:rsidRPr="00C73AF1">
        <w:rPr>
          <w:rFonts w:ascii="Calibri" w:eastAsia="Times New Roman" w:hAnsi="Calibri" w:cs="Calibri"/>
          <w:b/>
          <w:bCs/>
          <w:color w:val="000000"/>
          <w:sz w:val="24"/>
          <w:szCs w:val="24"/>
        </w:rPr>
        <w:tab/>
      </w:r>
      <w:r w:rsidRPr="00C73AF1">
        <w:rPr>
          <w:rFonts w:ascii="Calibri" w:eastAsia="Times New Roman" w:hAnsi="Calibri" w:cs="Calibri"/>
          <w:color w:val="000000"/>
          <w:sz w:val="24"/>
          <w:szCs w:val="24"/>
        </w:rPr>
        <w:t>What counts as "agency spending" is the BEdA funds we receive from the legislature (our "operating" funds)?</w:t>
      </w:r>
    </w:p>
    <w:p w14:paraId="6B42B2CF" w14:textId="6281DCC6" w:rsidR="00C32846" w:rsidRPr="00C73AF1" w:rsidRDefault="00C32846" w:rsidP="00C32846">
      <w:pPr>
        <w:tabs>
          <w:tab w:val="left" w:pos="720"/>
        </w:tabs>
        <w:spacing w:after="120" w:line="240" w:lineRule="auto"/>
        <w:ind w:left="720" w:hanging="720"/>
        <w:rPr>
          <w:rFonts w:ascii="Calibri" w:eastAsia="Times New Roman" w:hAnsi="Calibri" w:cs="Calibri"/>
          <w:b/>
          <w:bCs/>
          <w:color w:val="000000"/>
          <w:sz w:val="24"/>
          <w:szCs w:val="24"/>
        </w:rPr>
      </w:pPr>
      <w:r w:rsidRPr="00C73AF1">
        <w:rPr>
          <w:rFonts w:ascii="Calibri" w:eastAsia="Times New Roman" w:hAnsi="Calibri" w:cs="Calibri"/>
          <w:b/>
          <w:bCs/>
          <w:color w:val="000000"/>
          <w:sz w:val="24"/>
          <w:szCs w:val="24"/>
        </w:rPr>
        <w:t>A9)</w:t>
      </w:r>
      <w:r w:rsidRPr="00C73AF1">
        <w:rPr>
          <w:rFonts w:ascii="Calibri" w:eastAsia="Times New Roman" w:hAnsi="Calibri" w:cs="Calibri"/>
          <w:b/>
          <w:bCs/>
          <w:color w:val="000000"/>
          <w:sz w:val="24"/>
          <w:szCs w:val="24"/>
        </w:rPr>
        <w:tab/>
        <w:t xml:space="preserve">More information is required to answer this question.  Please contact Denise Costello directly at </w:t>
      </w:r>
      <w:r w:rsidRPr="00C73AF1">
        <w:rPr>
          <w:rFonts w:ascii="Calibri" w:eastAsia="Times New Roman" w:hAnsi="Calibri" w:cs="Calibri"/>
          <w:b/>
          <w:bCs/>
          <w:color w:val="0070C0"/>
          <w:sz w:val="24"/>
          <w:szCs w:val="24"/>
        </w:rPr>
        <w:t>dcostelllo@sbctc.edu.</w:t>
      </w:r>
    </w:p>
    <w:p w14:paraId="78D2A475" w14:textId="0E651E46" w:rsidR="00C32846" w:rsidRPr="00C32846" w:rsidRDefault="00C32846" w:rsidP="00C32846">
      <w:pPr>
        <w:tabs>
          <w:tab w:val="left" w:pos="540"/>
          <w:tab w:val="left" w:pos="720"/>
        </w:tabs>
        <w:spacing w:after="120" w:line="240" w:lineRule="auto"/>
        <w:ind w:left="720"/>
        <w:rPr>
          <w:rFonts w:ascii="Calibri" w:hAnsi="Calibri" w:cs="Calibri"/>
          <w:i/>
          <w:iCs/>
          <w:sz w:val="24"/>
          <w:szCs w:val="24"/>
        </w:rPr>
      </w:pPr>
      <w:r w:rsidRPr="00C73AF1">
        <w:rPr>
          <w:rFonts w:ascii="Calibri" w:hAnsi="Calibri" w:cs="Calibri"/>
          <w:i/>
          <w:iCs/>
          <w:sz w:val="24"/>
          <w:szCs w:val="24"/>
        </w:rPr>
        <w:t>*The SBCTC will update the answer for Q9 for all to see once clarification of the question is received.</w:t>
      </w:r>
    </w:p>
    <w:p w14:paraId="3B72CBA8" w14:textId="1927A279" w:rsidR="00C32846" w:rsidRPr="00C32846" w:rsidRDefault="00C32846" w:rsidP="00C32846">
      <w:pPr>
        <w:tabs>
          <w:tab w:val="left" w:pos="720"/>
        </w:tabs>
        <w:spacing w:after="120" w:line="240" w:lineRule="auto"/>
        <w:ind w:left="720" w:hanging="720"/>
        <w:rPr>
          <w:rFonts w:ascii="Calibri" w:eastAsia="Times New Roman" w:hAnsi="Calibri" w:cs="Calibri"/>
          <w:color w:val="000000"/>
          <w:sz w:val="24"/>
          <w:szCs w:val="24"/>
        </w:rPr>
      </w:pPr>
      <w:r w:rsidRPr="00C32846">
        <w:rPr>
          <w:rFonts w:ascii="Calibri" w:eastAsia="Times New Roman" w:hAnsi="Calibri" w:cs="Calibri"/>
          <w:b/>
          <w:bCs/>
          <w:color w:val="000000"/>
          <w:sz w:val="24"/>
          <w:szCs w:val="24"/>
        </w:rPr>
        <w:t>Q10)</w:t>
      </w:r>
      <w:r>
        <w:rPr>
          <w:rFonts w:ascii="Calibri" w:eastAsia="Times New Roman" w:hAnsi="Calibri" w:cs="Calibri"/>
          <w:b/>
          <w:bCs/>
          <w:color w:val="000000"/>
          <w:sz w:val="24"/>
          <w:szCs w:val="24"/>
        </w:rPr>
        <w:tab/>
      </w:r>
      <w:r w:rsidRPr="00C32846">
        <w:rPr>
          <w:rFonts w:ascii="Calibri" w:eastAsia="Times New Roman" w:hAnsi="Calibri" w:cs="Calibri"/>
          <w:color w:val="000000"/>
          <w:sz w:val="24"/>
          <w:szCs w:val="24"/>
        </w:rPr>
        <w:t>I will need to go over the entire process for understanding the Recipient Share FFR.</w:t>
      </w:r>
    </w:p>
    <w:p w14:paraId="5DEB1FEA" w14:textId="6B47D43E" w:rsidR="007A183D" w:rsidRPr="00C32846" w:rsidRDefault="00C32846" w:rsidP="00C32846">
      <w:pPr>
        <w:tabs>
          <w:tab w:val="left" w:pos="720"/>
        </w:tabs>
        <w:spacing w:after="120" w:line="240" w:lineRule="auto"/>
        <w:ind w:left="720" w:hanging="720"/>
        <w:rPr>
          <w:rFonts w:ascii="Calibri" w:eastAsia="Times New Roman" w:hAnsi="Calibri" w:cs="Calibri"/>
          <w:color w:val="000000"/>
          <w:sz w:val="24"/>
          <w:szCs w:val="24"/>
        </w:rPr>
      </w:pPr>
      <w:r w:rsidRPr="00C32846">
        <w:rPr>
          <w:rFonts w:ascii="Calibri" w:eastAsia="Times New Roman" w:hAnsi="Calibri" w:cs="Calibri"/>
          <w:b/>
          <w:bCs/>
          <w:color w:val="000000"/>
          <w:sz w:val="24"/>
          <w:szCs w:val="24"/>
        </w:rPr>
        <w:t>A10)</w:t>
      </w:r>
      <w:r>
        <w:rPr>
          <w:rFonts w:ascii="Calibri" w:eastAsia="Times New Roman" w:hAnsi="Calibri" w:cs="Calibri"/>
          <w:b/>
          <w:bCs/>
          <w:color w:val="000000"/>
          <w:sz w:val="24"/>
          <w:szCs w:val="24"/>
        </w:rPr>
        <w:tab/>
      </w:r>
      <w:r w:rsidRPr="00C32846">
        <w:rPr>
          <w:rFonts w:ascii="Calibri" w:eastAsia="Times New Roman" w:hAnsi="Calibri" w:cs="Calibri"/>
          <w:b/>
          <w:bCs/>
          <w:sz w:val="24"/>
          <w:szCs w:val="24"/>
        </w:rPr>
        <w:t xml:space="preserve">SBCTC is happy to provide individual technical assistance. For Career &amp; Training Services reporting questions, please contact Scott Toscano, BEdA Program Administrator, </w:t>
      </w:r>
      <w:hyperlink r:id="rId7" w:history="1">
        <w:r w:rsidRPr="00C32846">
          <w:rPr>
            <w:rStyle w:val="Hyperlink"/>
            <w:rFonts w:ascii="Calibri" w:eastAsia="Times New Roman" w:hAnsi="Calibri" w:cs="Calibri"/>
            <w:b/>
            <w:bCs/>
            <w:color w:val="0070C0"/>
            <w:sz w:val="24"/>
            <w:szCs w:val="24"/>
          </w:rPr>
          <w:t>stoscano@sbctc.edu</w:t>
        </w:r>
      </w:hyperlink>
      <w:r w:rsidRPr="00C32846">
        <w:rPr>
          <w:rFonts w:ascii="Calibri" w:eastAsia="Times New Roman" w:hAnsi="Calibri" w:cs="Calibri"/>
          <w:b/>
          <w:bCs/>
          <w:color w:val="0070C0"/>
          <w:sz w:val="24"/>
          <w:szCs w:val="24"/>
        </w:rPr>
        <w:t xml:space="preserve">​. </w:t>
      </w:r>
      <w:r w:rsidRPr="00C32846">
        <w:rPr>
          <w:rFonts w:ascii="Calibri" w:eastAsia="Times New Roman" w:hAnsi="Calibri" w:cs="Calibri"/>
          <w:b/>
          <w:bCs/>
          <w:sz w:val="24"/>
          <w:szCs w:val="24"/>
        </w:rPr>
        <w:t xml:space="preserve">For Federal Financial Reports (FFR) reporting questions, please contact Denise Costello, Associate Director, Fiscal Management, </w:t>
      </w:r>
      <w:r w:rsidRPr="00C32846">
        <w:rPr>
          <w:rFonts w:ascii="Calibri" w:eastAsia="Times New Roman" w:hAnsi="Calibri" w:cs="Calibri"/>
          <w:b/>
          <w:bCs/>
          <w:color w:val="0070C0"/>
          <w:sz w:val="24"/>
          <w:szCs w:val="24"/>
        </w:rPr>
        <w:t>dcostello@sbctc.edu</w:t>
      </w:r>
    </w:p>
    <w:sectPr w:rsidR="007A183D" w:rsidRPr="00C32846" w:rsidSect="00C32846">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6EE1" w14:textId="77777777" w:rsidR="00C32846" w:rsidRDefault="00C32846" w:rsidP="00C32846">
      <w:pPr>
        <w:spacing w:after="0" w:line="240" w:lineRule="auto"/>
      </w:pPr>
      <w:r>
        <w:separator/>
      </w:r>
    </w:p>
  </w:endnote>
  <w:endnote w:type="continuationSeparator" w:id="0">
    <w:p w14:paraId="1E8DB449" w14:textId="77777777" w:rsidR="00C32846" w:rsidRDefault="00C32846" w:rsidP="00C3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3698" w14:textId="77777777" w:rsidR="00C32846" w:rsidRDefault="00C32846" w:rsidP="00C32846">
      <w:pPr>
        <w:spacing w:after="0" w:line="240" w:lineRule="auto"/>
      </w:pPr>
      <w:r>
        <w:separator/>
      </w:r>
    </w:p>
  </w:footnote>
  <w:footnote w:type="continuationSeparator" w:id="0">
    <w:p w14:paraId="4891DE56" w14:textId="77777777" w:rsidR="00C32846" w:rsidRDefault="00C32846" w:rsidP="00C3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ED72" w14:textId="77777777" w:rsidR="00C32846" w:rsidRDefault="00C32846" w:rsidP="00C32846">
    <w:pPr>
      <w:pStyle w:val="Header"/>
      <w:jc w:val="right"/>
    </w:pPr>
    <w:r>
      <w:rPr>
        <w:noProof/>
      </w:rPr>
      <w:drawing>
        <wp:inline distT="0" distB="0" distL="0" distR="0" wp14:anchorId="58191DBD" wp14:editId="5696CF80">
          <wp:extent cx="2000250" cy="712557"/>
          <wp:effectExtent l="0" t="0" r="0" b="0"/>
          <wp:docPr id="2" name="Picture 2"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BCTC logo"/>
                  <pic:cNvPicPr/>
                </pic:nvPicPr>
                <pic:blipFill>
                  <a:blip r:embed="rId1">
                    <a:extLst>
                      <a:ext uri="{28A0092B-C50C-407E-A947-70E740481C1C}">
                        <a14:useLocalDpi xmlns:a14="http://schemas.microsoft.com/office/drawing/2010/main" val="0"/>
                      </a:ext>
                    </a:extLst>
                  </a:blip>
                  <a:stretch>
                    <a:fillRect/>
                  </a:stretch>
                </pic:blipFill>
                <pic:spPr>
                  <a:xfrm>
                    <a:off x="0" y="0"/>
                    <a:ext cx="2044328" cy="728259"/>
                  </a:xfrm>
                  <a:prstGeom prst="rect">
                    <a:avLst/>
                  </a:prstGeom>
                </pic:spPr>
              </pic:pic>
            </a:graphicData>
          </a:graphic>
        </wp:inline>
      </w:drawing>
    </w:r>
  </w:p>
  <w:p w14:paraId="2D48ED95" w14:textId="77777777" w:rsidR="00C32846" w:rsidRDefault="00C32846" w:rsidP="00C32846">
    <w:pPr>
      <w:pStyle w:val="Header"/>
    </w:pPr>
    <w:r>
      <w:rPr>
        <w:noProof/>
      </w:rPr>
      <mc:AlternateContent>
        <mc:Choice Requires="wps">
          <w:drawing>
            <wp:anchor distT="0" distB="0" distL="114300" distR="114300" simplePos="0" relativeHeight="251659264" behindDoc="0" locked="0" layoutInCell="1" allowOverlap="1" wp14:anchorId="72A3344B" wp14:editId="7A1A166E">
              <wp:simplePos x="0" y="0"/>
              <wp:positionH relativeFrom="column">
                <wp:posOffset>-552451</wp:posOffset>
              </wp:positionH>
              <wp:positionV relativeFrom="paragraph">
                <wp:posOffset>330835</wp:posOffset>
              </wp:positionV>
              <wp:extent cx="7019925" cy="3810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0199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1B318" id="Straight Connector 5"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3.5pt,26.05pt" to="509.2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" strokecolor="#4472c4 [3204]" strokeweight=".5pt">
              <v:stroke joinstyle="miter"/>
            </v:line>
          </w:pict>
        </mc:Fallback>
      </mc:AlternateContent>
    </w:r>
    <w:r>
      <w:t>The SBCTC BEdA Office considers answers in the forthcoming Q &amp; A document to be the only official source for answers related to the Career &amp; Training Services and FFR Webinar from 9/22/23</w:t>
    </w:r>
  </w:p>
  <w:p w14:paraId="61CF2553" w14:textId="77777777" w:rsidR="00C32846" w:rsidRDefault="00C32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46"/>
    <w:rsid w:val="007A183D"/>
    <w:rsid w:val="00C32846"/>
    <w:rsid w:val="00C7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E950"/>
  <w15:chartTrackingRefBased/>
  <w15:docId w15:val="{F8DB50E7-A7E9-4CC7-BDB0-D851998B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4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846"/>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C32846"/>
  </w:style>
  <w:style w:type="paragraph" w:styleId="Footer">
    <w:name w:val="footer"/>
    <w:basedOn w:val="Normal"/>
    <w:link w:val="FooterChar"/>
    <w:uiPriority w:val="99"/>
    <w:unhideWhenUsed/>
    <w:rsid w:val="00C32846"/>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C32846"/>
  </w:style>
  <w:style w:type="character" w:styleId="Hyperlink">
    <w:name w:val="Hyperlink"/>
    <w:basedOn w:val="DefaultParagraphFont"/>
    <w:uiPriority w:val="99"/>
    <w:unhideWhenUsed/>
    <w:rsid w:val="00C32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oscano@sbct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ostelllo@sbctc.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Lowder</dc:creator>
  <cp:keywords/>
  <dc:description/>
  <cp:lastModifiedBy>Christy Lowder</cp:lastModifiedBy>
  <cp:revision>2</cp:revision>
  <dcterms:created xsi:type="dcterms:W3CDTF">2023-10-10T19:19:00Z</dcterms:created>
  <dcterms:modified xsi:type="dcterms:W3CDTF">2023-10-10T21:58:00Z</dcterms:modified>
</cp:coreProperties>
</file>