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9DF50A" w14:textId="04121E53" w:rsidR="0061542A" w:rsidRDefault="007B773D">
      <w:pPr>
        <w:pStyle w:val="Heading1"/>
        <w:widowControl/>
        <w:spacing w:before="0" w:after="200"/>
        <w:jc w:val="center"/>
        <w:rPr>
          <w:rFonts w:ascii="Trebuchet MS" w:eastAsia="Trebuchet MS" w:hAnsi="Trebuchet MS" w:cs="Trebuchet MS"/>
          <w:b/>
          <w:sz w:val="36"/>
          <w:szCs w:val="36"/>
        </w:rPr>
      </w:pPr>
      <w:r>
        <w:rPr>
          <w:rFonts w:ascii="Trebuchet MS" w:eastAsia="Trebuchet MS" w:hAnsi="Trebuchet MS" w:cs="Trebuchet MS"/>
          <w:b/>
          <w:sz w:val="36"/>
          <w:szCs w:val="36"/>
        </w:rPr>
        <w:t>Number Talks Basics</w:t>
      </w:r>
    </w:p>
    <w:p w14:paraId="6FBEB3A2" w14:textId="56B04493" w:rsidR="0061542A" w:rsidRDefault="000A5F66">
      <w:pPr>
        <w:pStyle w:val="Heading2"/>
        <w:keepNext/>
        <w:keepLines/>
        <w:spacing w:after="200" w:line="240" w:lineRule="auto"/>
        <w:rPr>
          <w:rFonts w:ascii="Arial" w:eastAsia="Arial" w:hAnsi="Arial" w:cs="Arial"/>
          <w:color w:val="D9EA14"/>
        </w:rPr>
      </w:pPr>
      <w:bookmarkStart w:id="0" w:name="_30j0zll" w:colFirst="0" w:colLast="0"/>
      <w:bookmarkEnd w:id="0"/>
      <w:r>
        <w:rPr>
          <w:rFonts w:ascii="Trebuchet MS" w:eastAsia="Trebuchet MS" w:hAnsi="Trebuchet MS" w:cs="Trebuchet MS"/>
          <w:sz w:val="36"/>
          <w:szCs w:val="36"/>
        </w:rPr>
        <w:t>The Basic Routine</w:t>
      </w:r>
      <w:r w:rsidR="00B57FE9">
        <w:rPr>
          <w:rFonts w:ascii="Trebuchet MS" w:eastAsia="Trebuchet MS" w:hAnsi="Trebuchet MS" w:cs="Trebuchet MS"/>
          <w:sz w:val="36"/>
          <w:szCs w:val="36"/>
        </w:rPr>
        <w:t>:</w:t>
      </w:r>
    </w:p>
    <w:p w14:paraId="0FCA87B5" w14:textId="77777777" w:rsidR="000A5F66" w:rsidRPr="000C6943" w:rsidRDefault="000A5F66" w:rsidP="000C6943">
      <w:pPr>
        <w:pStyle w:val="Heading2"/>
        <w:rPr>
          <w:lang w:val="en-US"/>
        </w:rPr>
      </w:pPr>
      <w:r w:rsidRPr="000C6943">
        <w:rPr>
          <w:lang w:val="en-US"/>
        </w:rPr>
        <w:t>A whole-class 10-minute mathematics discourse routine.</w:t>
      </w:r>
    </w:p>
    <w:p w14:paraId="67C4DE3A" w14:textId="6AEC37A0" w:rsidR="000A5F66" w:rsidRPr="000C6943" w:rsidRDefault="000A5F66" w:rsidP="000C6943">
      <w:pPr>
        <w:pStyle w:val="Heading2"/>
        <w:rPr>
          <w:lang w:val="en-US"/>
        </w:rPr>
      </w:pPr>
      <w:r w:rsidRPr="000C6943">
        <w:rPr>
          <w:lang w:val="en-US"/>
        </w:rPr>
        <w:t>The teacher poses a problem.</w:t>
      </w:r>
    </w:p>
    <w:p w14:paraId="068E4F1C" w14:textId="77777777" w:rsidR="000A5F66" w:rsidRPr="000C6943" w:rsidRDefault="000A5F66" w:rsidP="000C6943">
      <w:pPr>
        <w:pStyle w:val="Heading2"/>
        <w:rPr>
          <w:lang w:val="en-US"/>
        </w:rPr>
      </w:pPr>
      <w:r w:rsidRPr="000C6943">
        <w:rPr>
          <w:lang w:val="en-US"/>
        </w:rPr>
        <w:t xml:space="preserve">Students solve the problem </w:t>
      </w:r>
      <w:r w:rsidRPr="000C6943">
        <w:rPr>
          <w:i/>
          <w:iCs/>
          <w:lang w:val="en-US"/>
        </w:rPr>
        <w:t xml:space="preserve">without </w:t>
      </w:r>
      <w:r w:rsidRPr="000C6943">
        <w:rPr>
          <w:lang w:val="en-US"/>
        </w:rPr>
        <w:t>using a standard algorithm.</w:t>
      </w:r>
    </w:p>
    <w:p w14:paraId="672A6659" w14:textId="031EE78B" w:rsidR="0061542A" w:rsidRPr="000C6943" w:rsidRDefault="000A5F66" w:rsidP="000C6943">
      <w:pPr>
        <w:pStyle w:val="Heading2"/>
        <w:rPr>
          <w:lang w:val="en-US"/>
        </w:rPr>
      </w:pPr>
      <w:r w:rsidRPr="000C6943">
        <w:rPr>
          <w:lang w:val="en-US"/>
        </w:rPr>
        <w:t>Teacher and student negotiate meaning until the student is convinced that the teacher has understood their strategy.</w:t>
      </w:r>
    </w:p>
    <w:p w14:paraId="1477DF27" w14:textId="55B8AA97" w:rsidR="000C6943" w:rsidRPr="000C6943" w:rsidRDefault="000A5F66" w:rsidP="000C6943">
      <w:pPr>
        <w:pStyle w:val="Heading2"/>
        <w:keepNext/>
        <w:keepLines/>
        <w:spacing w:before="200" w:line="360" w:lineRule="auto"/>
        <w:rPr>
          <w:rFonts w:ascii="Trebuchet MS" w:eastAsia="Trebuchet MS" w:hAnsi="Trebuchet MS" w:cs="Trebuchet MS"/>
          <w:sz w:val="36"/>
          <w:szCs w:val="36"/>
        </w:rPr>
      </w:pPr>
      <w:bookmarkStart w:id="1" w:name="_1fob9te" w:colFirst="0" w:colLast="0"/>
      <w:bookmarkEnd w:id="1"/>
      <w:r>
        <w:rPr>
          <w:rFonts w:ascii="Trebuchet MS" w:eastAsia="Trebuchet MS" w:hAnsi="Trebuchet MS" w:cs="Trebuchet MS"/>
          <w:sz w:val="36"/>
          <w:szCs w:val="36"/>
        </w:rPr>
        <w:t>Design Principles</w:t>
      </w:r>
      <w:r w:rsidR="00B57FE9">
        <w:rPr>
          <w:rFonts w:ascii="Trebuchet MS" w:eastAsia="Trebuchet MS" w:hAnsi="Trebuchet MS" w:cs="Trebuchet MS"/>
          <w:sz w:val="36"/>
          <w:szCs w:val="36"/>
        </w:rPr>
        <w:t>:</w:t>
      </w:r>
    </w:p>
    <w:p w14:paraId="36B5E838" w14:textId="77777777" w:rsidR="000C6943" w:rsidRPr="000C6943" w:rsidRDefault="000C6943" w:rsidP="000C6943">
      <w:pPr>
        <w:pStyle w:val="Heading2"/>
        <w:rPr>
          <w:highlight w:val="white"/>
          <w:lang w:val="en-US"/>
        </w:rPr>
      </w:pPr>
      <w:r w:rsidRPr="000C6943">
        <w:rPr>
          <w:highlight w:val="white"/>
          <w:lang w:val="en-US"/>
        </w:rPr>
        <w:t>Situating authority in the student (including shared decision-making over aspects of the routine.)</w:t>
      </w:r>
    </w:p>
    <w:p w14:paraId="7B9A6A4E" w14:textId="77777777" w:rsidR="000C6943" w:rsidRPr="000C6943" w:rsidRDefault="000C6943" w:rsidP="000C6943">
      <w:pPr>
        <w:pStyle w:val="Heading2"/>
        <w:rPr>
          <w:highlight w:val="white"/>
          <w:lang w:val="en-US"/>
        </w:rPr>
      </w:pPr>
      <w:r w:rsidRPr="000C6943">
        <w:rPr>
          <w:highlight w:val="white"/>
          <w:lang w:val="en-US"/>
        </w:rPr>
        <w:t>Accepting all answers without judgement</w:t>
      </w:r>
    </w:p>
    <w:p w14:paraId="6DED3ADA" w14:textId="77777777" w:rsidR="000C6943" w:rsidRPr="000C6943" w:rsidRDefault="000C6943" w:rsidP="000C6943">
      <w:pPr>
        <w:pStyle w:val="Heading2"/>
        <w:rPr>
          <w:highlight w:val="white"/>
          <w:lang w:val="en-US"/>
        </w:rPr>
      </w:pPr>
      <w:r w:rsidRPr="000C6943">
        <w:rPr>
          <w:highlight w:val="white"/>
          <w:lang w:val="en-US"/>
        </w:rPr>
        <w:t>Examining the symbolic representation before starting.</w:t>
      </w:r>
    </w:p>
    <w:p w14:paraId="40F7BB73" w14:textId="77777777" w:rsidR="000C6943" w:rsidRPr="000C6943" w:rsidRDefault="000C6943" w:rsidP="000C6943">
      <w:pPr>
        <w:pStyle w:val="Heading2"/>
        <w:rPr>
          <w:highlight w:val="white"/>
          <w:lang w:val="en-US"/>
        </w:rPr>
      </w:pPr>
      <w:r w:rsidRPr="000C6943">
        <w:rPr>
          <w:highlight w:val="white"/>
          <w:lang w:val="en-US"/>
        </w:rPr>
        <w:t>Examining co-created artifact at the end. </w:t>
      </w:r>
    </w:p>
    <w:p w14:paraId="7ADF0729" w14:textId="77777777" w:rsidR="000C6943" w:rsidRPr="000C6943" w:rsidRDefault="000C6943" w:rsidP="000C6943">
      <w:pPr>
        <w:pStyle w:val="Heading2"/>
        <w:rPr>
          <w:highlight w:val="white"/>
          <w:lang w:val="en-US"/>
        </w:rPr>
      </w:pPr>
      <w:r w:rsidRPr="000C6943">
        <w:rPr>
          <w:highlight w:val="white"/>
          <w:lang w:val="en-US"/>
        </w:rPr>
        <w:t>Visually representing students’ thinking.</w:t>
      </w:r>
    </w:p>
    <w:p w14:paraId="5922AEAC" w14:textId="77777777" w:rsidR="000C6943" w:rsidRPr="000C6943" w:rsidRDefault="000C6943" w:rsidP="000C6943">
      <w:pPr>
        <w:pStyle w:val="Heading2"/>
        <w:rPr>
          <w:highlight w:val="white"/>
          <w:lang w:val="en-US"/>
        </w:rPr>
      </w:pPr>
      <w:r w:rsidRPr="000C6943">
        <w:rPr>
          <w:highlight w:val="white"/>
          <w:lang w:val="en-US"/>
        </w:rPr>
        <w:t>Ensuring that models and tools are present in core math time. </w:t>
      </w:r>
    </w:p>
    <w:p w14:paraId="2293E337" w14:textId="77777777" w:rsidR="000C6943" w:rsidRPr="000C6943" w:rsidRDefault="000C6943" w:rsidP="000C6943">
      <w:pPr>
        <w:pStyle w:val="Heading2"/>
        <w:rPr>
          <w:highlight w:val="white"/>
          <w:lang w:val="en-US"/>
        </w:rPr>
      </w:pPr>
      <w:r w:rsidRPr="000C6943">
        <w:rPr>
          <w:highlight w:val="white"/>
          <w:lang w:val="en-US"/>
        </w:rPr>
        <w:t>Maintaining the regularity and structure of the routine.</w:t>
      </w:r>
    </w:p>
    <w:p w14:paraId="1E806995" w14:textId="77777777" w:rsidR="000C6943" w:rsidRPr="000C6943" w:rsidRDefault="000C6943" w:rsidP="000C6943">
      <w:pPr>
        <w:pStyle w:val="Heading2"/>
        <w:rPr>
          <w:highlight w:val="white"/>
          <w:lang w:val="en-US"/>
        </w:rPr>
      </w:pPr>
      <w:r w:rsidRPr="000C6943">
        <w:rPr>
          <w:highlight w:val="white"/>
          <w:lang w:val="en-US"/>
        </w:rPr>
        <w:t>Maintaining consistent language and prompts within the routine. </w:t>
      </w:r>
    </w:p>
    <w:p w14:paraId="0A37501D" w14:textId="7AA4CC55" w:rsidR="0061542A" w:rsidRPr="000C6943" w:rsidRDefault="000C6943" w:rsidP="000C6943">
      <w:pPr>
        <w:pStyle w:val="Heading2"/>
        <w:rPr>
          <w:highlight w:val="white"/>
          <w:lang w:val="en-US"/>
        </w:rPr>
      </w:pPr>
      <w:r w:rsidRPr="000C6943">
        <w:rPr>
          <w:highlight w:val="white"/>
          <w:lang w:val="en-US"/>
        </w:rPr>
        <w:t>Incorporating pair-sharing</w:t>
      </w:r>
    </w:p>
    <w:p w14:paraId="00213EE7" w14:textId="196BF43E" w:rsidR="0061542A" w:rsidRDefault="000C6943" w:rsidP="000C6943">
      <w:pPr>
        <w:pStyle w:val="Heading2"/>
        <w:keepNext/>
        <w:keepLines/>
        <w:spacing w:before="200" w:line="360" w:lineRule="auto"/>
        <w:rPr>
          <w:rFonts w:ascii="Arial" w:eastAsia="Arial" w:hAnsi="Arial" w:cs="Arial"/>
          <w:color w:val="D9EA14"/>
        </w:rPr>
      </w:pPr>
      <w:bookmarkStart w:id="2" w:name="_2et92p0" w:colFirst="0" w:colLast="0"/>
      <w:bookmarkEnd w:id="2"/>
      <w:r>
        <w:rPr>
          <w:rFonts w:ascii="Trebuchet MS" w:eastAsia="Trebuchet MS" w:hAnsi="Trebuchet MS" w:cs="Trebuchet MS"/>
          <w:sz w:val="36"/>
          <w:szCs w:val="36"/>
        </w:rPr>
        <w:t>Teacher Moves</w:t>
      </w:r>
      <w:r w:rsidR="00B57FE9">
        <w:rPr>
          <w:rFonts w:ascii="Trebuchet MS" w:eastAsia="Trebuchet MS" w:hAnsi="Trebuchet MS" w:cs="Trebuchet MS"/>
          <w:sz w:val="36"/>
          <w:szCs w:val="36"/>
        </w:rPr>
        <w:t>:</w:t>
      </w:r>
    </w:p>
    <w:p w14:paraId="54700016" w14:textId="77777777" w:rsidR="000C6943" w:rsidRPr="000C6943" w:rsidRDefault="000C6943" w:rsidP="000C6943">
      <w:pPr>
        <w:pStyle w:val="Heading2"/>
        <w:rPr>
          <w:highlight w:val="white"/>
          <w:lang w:val="en-US"/>
        </w:rPr>
      </w:pPr>
      <w:r w:rsidRPr="000C6943">
        <w:rPr>
          <w:highlight w:val="white"/>
          <w:lang w:val="en-US"/>
        </w:rPr>
        <w:t>Accepting all forms communication</w:t>
      </w:r>
    </w:p>
    <w:p w14:paraId="67C02A8D" w14:textId="77777777" w:rsidR="000C6943" w:rsidRPr="000C6943" w:rsidRDefault="000C6943" w:rsidP="000C6943">
      <w:pPr>
        <w:pStyle w:val="Heading3"/>
        <w:rPr>
          <w:highlight w:val="white"/>
        </w:rPr>
      </w:pPr>
      <w:r w:rsidRPr="000C6943">
        <w:rPr>
          <w:highlight w:val="white"/>
        </w:rPr>
        <w:t>Encouraging gestures &amp; heritage languages</w:t>
      </w:r>
    </w:p>
    <w:p w14:paraId="522D45E7" w14:textId="77777777" w:rsidR="000C6943" w:rsidRPr="000C6943" w:rsidRDefault="000C6943" w:rsidP="000C6943">
      <w:pPr>
        <w:pStyle w:val="Heading2"/>
        <w:rPr>
          <w:highlight w:val="white"/>
          <w:lang w:val="en-US"/>
        </w:rPr>
      </w:pPr>
      <w:r w:rsidRPr="000C6943">
        <w:rPr>
          <w:highlight w:val="white"/>
          <w:lang w:val="en-US"/>
        </w:rPr>
        <w:t>Revoicing (paraphrasing without adding more)</w:t>
      </w:r>
    </w:p>
    <w:p w14:paraId="2DDF913A" w14:textId="77777777" w:rsidR="000C6943" w:rsidRPr="000C6943" w:rsidRDefault="000C6943" w:rsidP="000C6943">
      <w:pPr>
        <w:pStyle w:val="Heading2"/>
        <w:rPr>
          <w:highlight w:val="white"/>
          <w:lang w:val="en-US"/>
        </w:rPr>
      </w:pPr>
      <w:r w:rsidRPr="000C6943">
        <w:rPr>
          <w:highlight w:val="white"/>
          <w:lang w:val="en-US"/>
        </w:rPr>
        <w:t>Providing synonyms </w:t>
      </w:r>
    </w:p>
    <w:p w14:paraId="74D31D88" w14:textId="77777777" w:rsidR="000C6943" w:rsidRPr="000C6943" w:rsidRDefault="000C6943" w:rsidP="000C6943">
      <w:pPr>
        <w:pStyle w:val="Heading2"/>
        <w:rPr>
          <w:highlight w:val="white"/>
          <w:lang w:val="en-US"/>
        </w:rPr>
      </w:pPr>
      <w:r w:rsidRPr="000C6943">
        <w:rPr>
          <w:highlight w:val="white"/>
          <w:lang w:val="en-US"/>
        </w:rPr>
        <w:t xml:space="preserve">Being </w:t>
      </w:r>
      <w:r w:rsidRPr="000C6943">
        <w:rPr>
          <w:highlight w:val="white"/>
        </w:rPr>
        <w:t>aware</w:t>
      </w:r>
      <w:r w:rsidRPr="000C6943">
        <w:rPr>
          <w:highlight w:val="white"/>
          <w:lang w:val="en-US"/>
        </w:rPr>
        <w:t xml:space="preserve"> and intentional about registers</w:t>
      </w:r>
    </w:p>
    <w:p w14:paraId="6220E4D6" w14:textId="77777777" w:rsidR="000C6943" w:rsidRPr="000C6943" w:rsidRDefault="000C6943" w:rsidP="000C6943">
      <w:pPr>
        <w:pStyle w:val="Heading2"/>
        <w:rPr>
          <w:highlight w:val="white"/>
          <w:lang w:val="en-US"/>
        </w:rPr>
      </w:pPr>
      <w:r w:rsidRPr="000C6943">
        <w:rPr>
          <w:highlight w:val="white"/>
          <w:lang w:val="en-US"/>
        </w:rPr>
        <w:t>Connecting students to each other as resource</w:t>
      </w:r>
    </w:p>
    <w:p w14:paraId="22F7DE4E" w14:textId="77777777" w:rsidR="000C6943" w:rsidRPr="000C6943" w:rsidRDefault="000C6943" w:rsidP="000C6943">
      <w:pPr>
        <w:pStyle w:val="Heading2"/>
        <w:rPr>
          <w:highlight w:val="white"/>
          <w:lang w:val="en-US"/>
        </w:rPr>
      </w:pPr>
      <w:r w:rsidRPr="000C6943">
        <w:rPr>
          <w:highlight w:val="white"/>
          <w:lang w:val="en-US"/>
        </w:rPr>
        <w:t>Attending to gestures as pre-verbalizations</w:t>
      </w:r>
    </w:p>
    <w:p w14:paraId="1A1813C8" w14:textId="77777777" w:rsidR="000C6943" w:rsidRPr="000C6943" w:rsidRDefault="000C6943" w:rsidP="000C6943">
      <w:pPr>
        <w:pStyle w:val="Heading2"/>
        <w:rPr>
          <w:highlight w:val="white"/>
          <w:lang w:val="en-US"/>
        </w:rPr>
      </w:pPr>
      <w:r w:rsidRPr="000C6943">
        <w:rPr>
          <w:highlight w:val="white"/>
          <w:lang w:val="en-US"/>
        </w:rPr>
        <w:t>Purposefully selecting students’ to share (MLs first)</w:t>
      </w:r>
    </w:p>
    <w:p w14:paraId="28BB9109" w14:textId="77777777" w:rsidR="000C6943" w:rsidRPr="000C6943" w:rsidRDefault="000C6943" w:rsidP="000C6943">
      <w:pPr>
        <w:pStyle w:val="Heading2"/>
        <w:rPr>
          <w:highlight w:val="white"/>
          <w:lang w:val="en-US"/>
        </w:rPr>
      </w:pPr>
      <w:r w:rsidRPr="000C6943">
        <w:rPr>
          <w:highlight w:val="white"/>
          <w:lang w:val="en-US"/>
        </w:rPr>
        <w:t>Providing frequent opportunities for students to privately confer and set goals for future sharing.</w:t>
      </w:r>
    </w:p>
    <w:p w14:paraId="51F5C8BE" w14:textId="77777777" w:rsidR="000C6943" w:rsidRDefault="000C6943" w:rsidP="000C6943">
      <w:pPr>
        <w:pStyle w:val="Heading3"/>
        <w:spacing w:line="480" w:lineRule="auto"/>
      </w:pPr>
    </w:p>
    <w:p w14:paraId="55BF47CC" w14:textId="77777777" w:rsidR="000C6943" w:rsidRDefault="000C6943" w:rsidP="000C6943">
      <w:pPr>
        <w:pStyle w:val="Heading3"/>
        <w:spacing w:line="480" w:lineRule="auto"/>
      </w:pPr>
    </w:p>
    <w:p w14:paraId="173BD64D" w14:textId="77777777" w:rsidR="000C6943" w:rsidRDefault="000C6943" w:rsidP="000C6943"/>
    <w:p w14:paraId="3EFB7C72" w14:textId="50E1F0B0" w:rsidR="000C6943" w:rsidRDefault="000C6943" w:rsidP="000C6943">
      <w:pPr>
        <w:pStyle w:val="Heading2"/>
      </w:pPr>
      <w:r>
        <w:t xml:space="preserve">We offer professional development to advance educators’ capacity to center and elevate the voices of multilingual learners in mathematics learning communities. </w:t>
      </w:r>
    </w:p>
    <w:p w14:paraId="2B787D54" w14:textId="77777777" w:rsidR="000C6943" w:rsidRPr="000C6943" w:rsidRDefault="000C6943" w:rsidP="000C6943"/>
    <w:p w14:paraId="6BEE5509" w14:textId="5F6F8E9F" w:rsidR="000C6943" w:rsidRDefault="000C6943" w:rsidP="000C6943">
      <w:pPr>
        <w:pStyle w:val="Heading3"/>
        <w:spacing w:line="480" w:lineRule="auto"/>
      </w:pPr>
      <w:r>
        <w:t xml:space="preserve">Contact:  Jana Dean, </w:t>
      </w:r>
      <w:hyperlink r:id="rId10" w:history="1">
        <w:r w:rsidRPr="00AA497A">
          <w:rPr>
            <w:rStyle w:val="Hyperlink"/>
          </w:rPr>
          <w:t>janad@mec-math.org</w:t>
        </w:r>
      </w:hyperlink>
      <w:r>
        <w:t>, Mathematics Education Collaborative</w:t>
      </w:r>
    </w:p>
    <w:p w14:paraId="5A39BBE3" w14:textId="77777777" w:rsidR="0061542A" w:rsidRDefault="0061542A">
      <w:pPr>
        <w:spacing w:after="0"/>
        <w:rPr>
          <w:rFonts w:ascii="Trebuchet MS" w:eastAsia="Trebuchet MS" w:hAnsi="Trebuchet MS" w:cs="Trebuchet MS"/>
          <w:b/>
          <w:sz w:val="36"/>
          <w:szCs w:val="36"/>
        </w:rPr>
      </w:pPr>
    </w:p>
    <w:sectPr w:rsidR="0061542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864" w:bottom="720" w:left="864" w:header="14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7301E" w14:textId="77777777" w:rsidR="004B0014" w:rsidRDefault="004B0014">
      <w:pPr>
        <w:spacing w:after="0" w:line="240" w:lineRule="auto"/>
      </w:pPr>
      <w:r>
        <w:separator/>
      </w:r>
    </w:p>
  </w:endnote>
  <w:endnote w:type="continuationSeparator" w:id="0">
    <w:p w14:paraId="4AE19FC9" w14:textId="77777777" w:rsidR="004B0014" w:rsidRDefault="004B0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7777777" w:rsidR="0061542A" w:rsidRDefault="0061542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AFD9C" w14:textId="77777777" w:rsidR="0061542A" w:rsidRDefault="0061542A">
    <w:pPr>
      <w:spacing w:after="0" w:line="240" w:lineRule="auto"/>
      <w:rPr>
        <w:rFonts w:ascii="Arial" w:eastAsia="Arial" w:hAnsi="Arial" w:cs="Arial"/>
        <w:color w:val="434343"/>
        <w:sz w:val="20"/>
        <w:szCs w:val="20"/>
      </w:rPr>
    </w:pPr>
  </w:p>
  <w:p w14:paraId="7A3DB3C7" w14:textId="77777777" w:rsidR="0061542A" w:rsidRDefault="00B57FE9">
    <w:pPr>
      <w:spacing w:after="0" w:line="240" w:lineRule="auto"/>
      <w:rPr>
        <w:rFonts w:ascii="Arial" w:eastAsia="Arial" w:hAnsi="Arial" w:cs="Arial"/>
        <w:color w:val="434343"/>
        <w:sz w:val="20"/>
        <w:szCs w:val="20"/>
      </w:rPr>
    </w:pPr>
    <w:r>
      <w:rPr>
        <w:noProof/>
      </w:rPr>
      <w:drawing>
        <wp:inline distT="0" distB="0" distL="0" distR="0" wp14:anchorId="09038EB9" wp14:editId="07777777">
          <wp:extent cx="723900" cy="266700"/>
          <wp:effectExtent l="0" t="0" r="0" b="0"/>
          <wp:docPr id="2" name="image1.png" descr="Creative Commons Licens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reative Commons Licens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900" cy="266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color w:val="434343"/>
        <w:sz w:val="20"/>
        <w:szCs w:val="20"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5B6FD9A" wp14:editId="07777777">
              <wp:simplePos x="0" y="0"/>
              <wp:positionH relativeFrom="column">
                <wp:posOffset>901700</wp:posOffset>
              </wp:positionH>
              <wp:positionV relativeFrom="paragraph">
                <wp:posOffset>0</wp:posOffset>
              </wp:positionV>
              <wp:extent cx="4381500" cy="27622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160013" y="3646650"/>
                        <a:ext cx="4371975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9525" cap="flat" cmpd="sng">
                        <a:solidFill>
                          <a:schemeClr val="lt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14F820E1" w14:textId="77777777" w:rsidR="0061542A" w:rsidRDefault="00B57FE9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434343"/>
                              <w:sz w:val="20"/>
                            </w:rPr>
                            <w:t xml:space="preserve">Unless otherwise specified, all content is licensed under </w:t>
                          </w:r>
                          <w:r>
                            <w:rPr>
                              <w:rFonts w:ascii="Arial" w:eastAsia="Arial" w:hAnsi="Arial" w:cs="Arial"/>
                              <w:color w:val="185DA2"/>
                              <w:sz w:val="20"/>
                              <w:u w:val="single"/>
                            </w:rPr>
                            <w:t>CC BY 4.0</w:t>
                          </w:r>
                          <w:r>
                            <w:rPr>
                              <w:rFonts w:ascii="Arial" w:eastAsia="Arial" w:hAnsi="Arial" w:cs="Arial"/>
                              <w:color w:val="434343"/>
                              <w:sz w:val="20"/>
                            </w:rPr>
                            <w:t>.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5B6FD9A" id="Rectangle 1" o:spid="_x0000_s1026" style="position:absolute;margin-left:71pt;margin-top:0;width:345pt;height:21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" fillcolor="white [3201]" strokecolor="white [3201]">
              <v:stroke startarrowwidth="narrow" startarrowlength="short" endarrowwidth="narrow" endarrowlength="short" joinstyle="round"/>
              <v:textbox inset="2.53958mm,1.2694mm,2.53958mm,1.2694mm">
                <w:txbxContent>
                  <w:p w14:paraId="14F820E1" w14:textId="77777777" w:rsidR="0061542A" w:rsidRDefault="00B57FE9">
                    <w:pPr>
                      <w:spacing w:line="275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434343"/>
                        <w:sz w:val="20"/>
                      </w:rPr>
                      <w:t xml:space="preserve">Unless otherwise specified, all content is licensed under </w:t>
                    </w:r>
                    <w:r>
                      <w:rPr>
                        <w:rFonts w:ascii="Arial" w:eastAsia="Arial" w:hAnsi="Arial" w:cs="Arial"/>
                        <w:color w:val="185DA2"/>
                        <w:sz w:val="20"/>
                        <w:u w:val="single"/>
                      </w:rPr>
                      <w:t>CC BY 4.0</w:t>
                    </w:r>
                    <w:r>
                      <w:rPr>
                        <w:rFonts w:ascii="Arial" w:eastAsia="Arial" w:hAnsi="Arial" w:cs="Arial"/>
                        <w:color w:val="434343"/>
                        <w:sz w:val="20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</w:p>
  <w:bookmarkStart w:id="3" w:name="_tyjcwt" w:colFirst="0" w:colLast="0"/>
  <w:bookmarkEnd w:id="3"/>
  <w:p w14:paraId="133EDD17" w14:textId="3DEDEF96" w:rsidR="0061542A" w:rsidRDefault="00B57FE9">
    <w:pPr>
      <w:tabs>
        <w:tab w:val="center" w:pos="4680"/>
        <w:tab w:val="right" w:pos="9360"/>
      </w:tabs>
      <w:spacing w:after="0" w:line="240" w:lineRule="auto"/>
      <w:jc w:val="right"/>
      <w:rPr>
        <w:rFonts w:ascii="Arial" w:eastAsia="Arial" w:hAnsi="Arial" w:cs="Arial"/>
        <w:color w:val="434343"/>
      </w:rPr>
    </w:pPr>
    <w:r>
      <w:rPr>
        <w:rFonts w:ascii="Arial" w:eastAsia="Arial" w:hAnsi="Arial" w:cs="Arial"/>
        <w:color w:val="434343"/>
      </w:rPr>
      <w:fldChar w:fldCharType="begin"/>
    </w:r>
    <w:r>
      <w:rPr>
        <w:rFonts w:ascii="Arial" w:eastAsia="Arial" w:hAnsi="Arial" w:cs="Arial"/>
        <w:color w:val="434343"/>
      </w:rPr>
      <w:instrText>PAGE</w:instrText>
    </w:r>
    <w:r w:rsidR="00000000">
      <w:rPr>
        <w:rFonts w:ascii="Arial" w:eastAsia="Arial" w:hAnsi="Arial" w:cs="Arial"/>
        <w:color w:val="434343"/>
      </w:rPr>
      <w:fldChar w:fldCharType="separate"/>
    </w:r>
    <w:r w:rsidR="007B773D">
      <w:rPr>
        <w:rFonts w:ascii="Arial" w:eastAsia="Arial" w:hAnsi="Arial" w:cs="Arial"/>
        <w:noProof/>
        <w:color w:val="434343"/>
      </w:rPr>
      <w:t>1</w:t>
    </w:r>
    <w:r>
      <w:rPr>
        <w:rFonts w:ascii="Arial" w:eastAsia="Arial" w:hAnsi="Arial" w:cs="Arial"/>
        <w:color w:val="434343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31CB" w14:textId="77777777" w:rsidR="0061542A" w:rsidRDefault="0061542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E8A4D" w14:textId="77777777" w:rsidR="004B0014" w:rsidRDefault="004B0014">
      <w:pPr>
        <w:spacing w:after="0" w:line="240" w:lineRule="auto"/>
      </w:pPr>
      <w:r>
        <w:separator/>
      </w:r>
    </w:p>
  </w:footnote>
  <w:footnote w:type="continuationSeparator" w:id="0">
    <w:p w14:paraId="23E790B2" w14:textId="77777777" w:rsidR="004B0014" w:rsidRDefault="004B0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B0818" w14:textId="77777777" w:rsidR="0061542A" w:rsidRDefault="0061542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9372F" w14:textId="07FE29F3" w:rsidR="0061542A" w:rsidRDefault="00B57FE9">
    <w:pPr>
      <w:spacing w:after="0" w:line="240" w:lineRule="auto"/>
      <w:jc w:val="right"/>
      <w:rPr>
        <w:rFonts w:ascii="Arial" w:eastAsia="Arial" w:hAnsi="Arial" w:cs="Arial"/>
        <w:color w:val="000000"/>
        <w:sz w:val="20"/>
        <w:szCs w:val="20"/>
      </w:rPr>
    </w:pPr>
    <w:r>
      <w:t xml:space="preserve"> </w:t>
    </w:r>
    <w:r>
      <w:tab/>
    </w:r>
    <w:r>
      <w:tab/>
    </w:r>
    <w:r>
      <w:tab/>
      <w:t xml:space="preserve">                                                      </w:t>
    </w:r>
    <w:r w:rsidR="007B773D">
      <w:rPr>
        <w:rFonts w:ascii="Arial" w:eastAsia="Arial" w:hAnsi="Arial" w:cs="Arial"/>
        <w:color w:val="000000"/>
        <w:sz w:val="20"/>
        <w:szCs w:val="20"/>
      </w:rPr>
      <w:t>Number Talks and Multilingual Learners</w:t>
    </w:r>
    <w:r>
      <w:rPr>
        <w:rFonts w:ascii="Arial" w:eastAsia="Arial" w:hAnsi="Arial" w:cs="Arial"/>
        <w:color w:val="000000"/>
        <w:sz w:val="20"/>
        <w:szCs w:val="20"/>
      </w:rPr>
      <w:t xml:space="preserve"> | </w:t>
    </w:r>
    <w:r w:rsidR="007B773D">
      <w:rPr>
        <w:rFonts w:ascii="Arial" w:eastAsia="Arial" w:hAnsi="Arial" w:cs="Arial"/>
        <w:color w:val="000000"/>
        <w:sz w:val="20"/>
        <w:szCs w:val="20"/>
      </w:rPr>
      <w:t>Number Talks Basics</w:t>
    </w:r>
  </w:p>
  <w:p w14:paraId="3DEEC669" w14:textId="77777777" w:rsidR="0061542A" w:rsidRDefault="0061542A">
    <w:pPr>
      <w:spacing w:after="0" w:line="240" w:lineRule="auto"/>
      <w:jc w:val="right"/>
      <w:rPr>
        <w:rFonts w:ascii="Arial" w:eastAsia="Arial" w:hAnsi="Arial" w:cs="Arial"/>
        <w:sz w:val="20"/>
        <w:szCs w:val="20"/>
      </w:rPr>
    </w:pPr>
  </w:p>
  <w:p w14:paraId="3656B9AB" w14:textId="77777777" w:rsidR="0061542A" w:rsidRDefault="0061542A">
    <w:pPr>
      <w:spacing w:after="0" w:line="240" w:lineRule="auto"/>
      <w:jc w:val="right"/>
      <w:rPr>
        <w:rFonts w:ascii="Arial" w:eastAsia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B940D" w14:textId="77777777" w:rsidR="0061542A" w:rsidRDefault="0061542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91D6D"/>
    <w:multiLevelType w:val="multilevel"/>
    <w:tmpl w:val="0EE01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E25B3D"/>
    <w:multiLevelType w:val="multilevel"/>
    <w:tmpl w:val="00CE4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AE4894"/>
    <w:multiLevelType w:val="hybridMultilevel"/>
    <w:tmpl w:val="3AEA720C"/>
    <w:lvl w:ilvl="0" w:tplc="CC8805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D66C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4A6B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D453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D65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AAB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0E1B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CE10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DC33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D17B28"/>
    <w:multiLevelType w:val="hybridMultilevel"/>
    <w:tmpl w:val="E35E4C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9956631">
    <w:abstractNumId w:val="2"/>
  </w:num>
  <w:num w:numId="2" w16cid:durableId="87359983">
    <w:abstractNumId w:val="1"/>
  </w:num>
  <w:num w:numId="3" w16cid:durableId="1297644563">
    <w:abstractNumId w:val="0"/>
  </w:num>
  <w:num w:numId="4" w16cid:durableId="16912527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9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42A"/>
    <w:rsid w:val="000A5F66"/>
    <w:rsid w:val="000C6943"/>
    <w:rsid w:val="004B0014"/>
    <w:rsid w:val="0061542A"/>
    <w:rsid w:val="006332F5"/>
    <w:rsid w:val="007B773D"/>
    <w:rsid w:val="00B57FE9"/>
    <w:rsid w:val="00E66AA6"/>
    <w:rsid w:val="00F5086C"/>
    <w:rsid w:val="138EF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120C45"/>
  <w15:docId w15:val="{B2946E7F-1C6E-42D4-A214-EDF8B95E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ja-JP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100" w:after="100" w:line="240" w:lineRule="auto"/>
      <w:outlineLvl w:val="0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uiPriority w:val="9"/>
    <w:unhideWhenUsed/>
    <w:qFormat/>
    <w:pPr>
      <w:spacing w:after="0"/>
      <w:outlineLvl w:val="1"/>
    </w:pPr>
  </w:style>
  <w:style w:type="paragraph" w:styleId="Heading3">
    <w:name w:val="heading 3"/>
    <w:basedOn w:val="Normal"/>
    <w:next w:val="Normal"/>
    <w:uiPriority w:val="9"/>
    <w:unhideWhenUsed/>
    <w:qFormat/>
    <w:pPr>
      <w:spacing w:after="0"/>
      <w:outlineLvl w:val="2"/>
    </w:p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after="0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after="0"/>
      <w:outlineLvl w:val="4"/>
    </w:p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after="0"/>
      <w:outlineLvl w:val="5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300" w:line="240" w:lineRule="auto"/>
    </w:pPr>
    <w:rPr>
      <w:rFonts w:ascii="Cambria" w:eastAsia="Cambria" w:hAnsi="Cambria" w:cs="Cambria"/>
      <w:color w:val="2E2E22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spacing w:after="0"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0C694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694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C6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1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172039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4943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699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7167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1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59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janad@mec-math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75256FFFE6474E9F4A1F5D16FB020B" ma:contentTypeVersion="14" ma:contentTypeDescription="Create a new document." ma:contentTypeScope="" ma:versionID="edb202a30c87a4b3b8713f6c1d2e5928">
  <xsd:schema xmlns:xsd="http://www.w3.org/2001/XMLSchema" xmlns:xs="http://www.w3.org/2001/XMLSchema" xmlns:p="http://schemas.microsoft.com/office/2006/metadata/properties" xmlns:ns2="95d34d65-a250-4cb0-bba3-9227d5f81723" xmlns:ns3="28b0818c-7c05-4c23-bf25-0c4cfc264c17" targetNamespace="http://schemas.microsoft.com/office/2006/metadata/properties" ma:root="true" ma:fieldsID="e5076a413ebfb31f10e82e2a5918083c" ns2:_="" ns3:_="">
    <xsd:import namespace="95d34d65-a250-4cb0-bba3-9227d5f81723"/>
    <xsd:import namespace="28b0818c-7c05-4c23-bf25-0c4cfc264c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34d65-a250-4cb0-bba3-9227d5f817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072a751-c2a1-410f-8384-0186ab4766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0818c-7c05-4c23-bf25-0c4cfc264c1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44b3d68-81d6-49b2-a871-09cb75c4ce84}" ma:internalName="TaxCatchAll" ma:showField="CatchAllData" ma:web="28b0818c-7c05-4c23-bf25-0c4cfc264c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d34d65-a250-4cb0-bba3-9227d5f81723">
      <Terms xmlns="http://schemas.microsoft.com/office/infopath/2007/PartnerControls"/>
    </lcf76f155ced4ddcb4097134ff3c332f>
    <TaxCatchAll xmlns="28b0818c-7c05-4c23-bf25-0c4cfc264c17" xsi:nil="true"/>
  </documentManagement>
</p:properties>
</file>

<file path=customXml/itemProps1.xml><?xml version="1.0" encoding="utf-8"?>
<ds:datastoreItem xmlns:ds="http://schemas.openxmlformats.org/officeDocument/2006/customXml" ds:itemID="{01CCE08E-240D-435D-AB12-DCBB59CCFA74}"/>
</file>

<file path=customXml/itemProps2.xml><?xml version="1.0" encoding="utf-8"?>
<ds:datastoreItem xmlns:ds="http://schemas.openxmlformats.org/officeDocument/2006/customXml" ds:itemID="{66986F71-F34C-4C2D-9757-56B753D989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EB62DC-2908-4F97-B75B-137BA5DD263D}">
  <ds:schemaRefs>
    <ds:schemaRef ds:uri="http://schemas.microsoft.com/office/2006/metadata/properties"/>
    <ds:schemaRef ds:uri="http://schemas.microsoft.com/office/infopath/2007/PartnerControls"/>
    <ds:schemaRef ds:uri="95d34d65-a250-4cb0-bba3-9227d5f81723"/>
    <ds:schemaRef ds:uri="28b0818c-7c05-4c23-bf25-0c4cfc264c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Dean, Jana</cp:lastModifiedBy>
  <cp:revision>3</cp:revision>
  <dcterms:created xsi:type="dcterms:W3CDTF">2024-05-22T14:12:00Z</dcterms:created>
  <dcterms:modified xsi:type="dcterms:W3CDTF">2024-05-22T14:26:00Z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0x0101007675256FFFE6474E9F4A1F5D16FB020B</vt:lpwstr>
  </property>
  <property fmtid="{D5CDD505-2E9C-101B-9397-08002B2CF9AE}" pid="3" name="MediaServiceImageTags">
    <vt:lpwstr/>
  </property>
</Properties>
</file>