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C00431" w14:textId="77777777" w:rsidR="00C45D30" w:rsidRDefault="00C45D30" w:rsidP="00C45D30">
      <w:pPr>
        <w:pStyle w:val="Default"/>
      </w:pPr>
    </w:p>
    <w:p w14:paraId="356DA6EA" w14:textId="77777777" w:rsidR="00C45D30" w:rsidRDefault="00C45D30" w:rsidP="00C45D30">
      <w:pPr>
        <w:pStyle w:val="Default"/>
      </w:pPr>
    </w:p>
    <w:p w14:paraId="4AA9340D" w14:textId="77777777" w:rsidR="00C45D30" w:rsidRDefault="00C45D30" w:rsidP="00C45D30">
      <w:pPr>
        <w:pStyle w:val="Default"/>
        <w:spacing w:after="120"/>
        <w:rPr>
          <w:sz w:val="29"/>
          <w:szCs w:val="29"/>
        </w:rPr>
      </w:pPr>
      <w:r>
        <w:rPr>
          <w:b/>
          <w:bCs/>
          <w:sz w:val="29"/>
          <w:szCs w:val="29"/>
        </w:rPr>
        <w:t>Year-end Accruals</w:t>
      </w:r>
    </w:p>
    <w:p w14:paraId="583EB6C8" w14:textId="77777777" w:rsidR="00C45D30" w:rsidRDefault="00C45D30" w:rsidP="000D2640">
      <w:pPr>
        <w:pStyle w:val="Default"/>
        <w:spacing w:line="300" w:lineRule="exact"/>
        <w:rPr>
          <w:sz w:val="22"/>
          <w:szCs w:val="22"/>
        </w:rPr>
      </w:pPr>
      <w:r>
        <w:rPr>
          <w:sz w:val="22"/>
          <w:szCs w:val="22"/>
        </w:rPr>
        <w:t xml:space="preserve">Peoplesoft works as an </w:t>
      </w:r>
      <w:r w:rsidR="00DE734D">
        <w:rPr>
          <w:sz w:val="22"/>
          <w:szCs w:val="22"/>
        </w:rPr>
        <w:t>a</w:t>
      </w:r>
      <w:r>
        <w:rPr>
          <w:sz w:val="22"/>
          <w:szCs w:val="22"/>
        </w:rPr>
        <w:t>ccrual system, which means it recognizes expen</w:t>
      </w:r>
      <w:r w:rsidR="000D2640">
        <w:rPr>
          <w:sz w:val="22"/>
          <w:szCs w:val="22"/>
        </w:rPr>
        <w:t>ditures</w:t>
      </w:r>
      <w:r>
        <w:rPr>
          <w:sz w:val="22"/>
          <w:szCs w:val="22"/>
        </w:rPr>
        <w:t xml:space="preserve"> and revenues when they are earned, rather than when they are paid. Invoices and Billings are </w:t>
      </w:r>
      <w:r w:rsidR="000D2640">
        <w:rPr>
          <w:sz w:val="22"/>
          <w:szCs w:val="22"/>
        </w:rPr>
        <w:t>entered in</w:t>
      </w:r>
      <w:r>
        <w:rPr>
          <w:sz w:val="22"/>
          <w:szCs w:val="22"/>
        </w:rPr>
        <w:t xml:space="preserve"> Peoplesoft until period 12 is </w:t>
      </w:r>
      <w:r w:rsidR="000D2640">
        <w:rPr>
          <w:sz w:val="22"/>
          <w:szCs w:val="22"/>
        </w:rPr>
        <w:t>closed</w:t>
      </w:r>
      <w:r>
        <w:rPr>
          <w:sz w:val="22"/>
          <w:szCs w:val="22"/>
        </w:rPr>
        <w:t xml:space="preserve">. At that time, any </w:t>
      </w:r>
      <w:r w:rsidR="000D2640">
        <w:rPr>
          <w:sz w:val="22"/>
          <w:szCs w:val="22"/>
        </w:rPr>
        <w:t xml:space="preserve">unprocessed </w:t>
      </w:r>
      <w:r w:rsidR="005002E1">
        <w:rPr>
          <w:sz w:val="22"/>
          <w:szCs w:val="22"/>
        </w:rPr>
        <w:t>expenditures</w:t>
      </w:r>
      <w:r>
        <w:rPr>
          <w:sz w:val="22"/>
          <w:szCs w:val="22"/>
        </w:rPr>
        <w:t xml:space="preserve"> or </w:t>
      </w:r>
      <w:r w:rsidR="005002E1">
        <w:rPr>
          <w:sz w:val="22"/>
          <w:szCs w:val="22"/>
        </w:rPr>
        <w:t>revenues,</w:t>
      </w:r>
      <w:r>
        <w:rPr>
          <w:sz w:val="22"/>
          <w:szCs w:val="22"/>
        </w:rPr>
        <w:t xml:space="preserve"> for services</w:t>
      </w:r>
      <w:r w:rsidR="000D2640">
        <w:rPr>
          <w:sz w:val="22"/>
          <w:szCs w:val="22"/>
        </w:rPr>
        <w:t xml:space="preserve"> </w:t>
      </w:r>
      <w:r>
        <w:rPr>
          <w:sz w:val="22"/>
          <w:szCs w:val="22"/>
        </w:rPr>
        <w:t>provided prior to June 30</w:t>
      </w:r>
      <w:r w:rsidRPr="00C45D30">
        <w:rPr>
          <w:sz w:val="22"/>
          <w:szCs w:val="22"/>
          <w:vertAlign w:val="superscript"/>
        </w:rPr>
        <w:t>th</w:t>
      </w:r>
      <w:r>
        <w:rPr>
          <w:sz w:val="22"/>
          <w:szCs w:val="22"/>
        </w:rPr>
        <w:t>, will need to be accrued.</w:t>
      </w:r>
    </w:p>
    <w:p w14:paraId="78F6EB3F" w14:textId="77777777" w:rsidR="00C45D30" w:rsidRDefault="00C45D30" w:rsidP="00C45D30">
      <w:pPr>
        <w:pStyle w:val="Default"/>
        <w:rPr>
          <w:sz w:val="22"/>
          <w:szCs w:val="22"/>
        </w:rPr>
      </w:pPr>
    </w:p>
    <w:p w14:paraId="33ABD2DD" w14:textId="77777777" w:rsidR="00C45D30" w:rsidRPr="00305FE9" w:rsidRDefault="00C45D30" w:rsidP="00305FE9">
      <w:pPr>
        <w:pStyle w:val="Default"/>
        <w:spacing w:after="120"/>
        <w:rPr>
          <w:sz w:val="22"/>
          <w:szCs w:val="22"/>
          <w:u w:val="single"/>
        </w:rPr>
      </w:pPr>
      <w:r w:rsidRPr="00305FE9">
        <w:rPr>
          <w:b/>
          <w:bCs/>
          <w:sz w:val="22"/>
          <w:szCs w:val="22"/>
          <w:u w:val="single"/>
        </w:rPr>
        <w:t xml:space="preserve">Issue: </w:t>
      </w:r>
    </w:p>
    <w:p w14:paraId="61C52F3E" w14:textId="77777777" w:rsidR="00DE0EF4" w:rsidRDefault="00DE0EF4" w:rsidP="002A7F3E">
      <w:pPr>
        <w:pStyle w:val="Default"/>
        <w:spacing w:after="120" w:line="300" w:lineRule="exact"/>
        <w:rPr>
          <w:sz w:val="22"/>
          <w:szCs w:val="22"/>
        </w:rPr>
      </w:pPr>
      <w:r>
        <w:rPr>
          <w:sz w:val="22"/>
          <w:szCs w:val="22"/>
        </w:rPr>
        <w:t xml:space="preserve">Peoplesoft functionality is to create a journal entry to accrue to expenditures against a liability, marking the journal to reverse in the next year. Unfortunately, </w:t>
      </w:r>
      <w:r w:rsidR="00DE734D">
        <w:rPr>
          <w:sz w:val="22"/>
          <w:szCs w:val="22"/>
        </w:rPr>
        <w:t xml:space="preserve">this creates </w:t>
      </w:r>
      <w:r>
        <w:rPr>
          <w:sz w:val="22"/>
          <w:szCs w:val="22"/>
        </w:rPr>
        <w:t>the following</w:t>
      </w:r>
      <w:r w:rsidR="00DE734D">
        <w:rPr>
          <w:sz w:val="22"/>
          <w:szCs w:val="22"/>
        </w:rPr>
        <w:t xml:space="preserve"> issues:</w:t>
      </w:r>
    </w:p>
    <w:p w14:paraId="64B237E3" w14:textId="77777777" w:rsidR="00C45D30" w:rsidRPr="005002E1" w:rsidRDefault="00305FE9" w:rsidP="002A7F3E">
      <w:pPr>
        <w:pStyle w:val="Default"/>
        <w:numPr>
          <w:ilvl w:val="0"/>
          <w:numId w:val="8"/>
        </w:numPr>
        <w:spacing w:after="120"/>
        <w:rPr>
          <w:b/>
          <w:bCs/>
          <w:sz w:val="22"/>
          <w:szCs w:val="22"/>
        </w:rPr>
      </w:pPr>
      <w:r w:rsidRPr="005002E1">
        <w:rPr>
          <w:b/>
          <w:bCs/>
          <w:sz w:val="22"/>
          <w:szCs w:val="22"/>
        </w:rPr>
        <w:t xml:space="preserve">Utilization of appropriations </w:t>
      </w:r>
      <w:r w:rsidR="00DE734D" w:rsidRPr="005002E1">
        <w:rPr>
          <w:b/>
          <w:bCs/>
          <w:sz w:val="22"/>
          <w:szCs w:val="22"/>
        </w:rPr>
        <w:t>that are no longer valid in the new year</w:t>
      </w:r>
    </w:p>
    <w:p w14:paraId="2416DB8E" w14:textId="77777777" w:rsidR="005002E1" w:rsidRDefault="005002E1" w:rsidP="002A7F3E">
      <w:pPr>
        <w:pStyle w:val="Default"/>
        <w:spacing w:after="120" w:line="300" w:lineRule="exact"/>
        <w:ind w:left="720"/>
        <w:rPr>
          <w:sz w:val="22"/>
          <w:szCs w:val="22"/>
        </w:rPr>
      </w:pPr>
      <w:r>
        <w:rPr>
          <w:sz w:val="22"/>
          <w:szCs w:val="22"/>
        </w:rPr>
        <w:t xml:space="preserve">The accrual journal </w:t>
      </w:r>
      <w:r w:rsidR="002A7F3E">
        <w:rPr>
          <w:sz w:val="22"/>
          <w:szCs w:val="22"/>
        </w:rPr>
        <w:t xml:space="preserve">is </w:t>
      </w:r>
      <w:r>
        <w:rPr>
          <w:sz w:val="22"/>
          <w:szCs w:val="22"/>
        </w:rPr>
        <w:t>created</w:t>
      </w:r>
      <w:r w:rsidR="003D7147">
        <w:rPr>
          <w:sz w:val="22"/>
          <w:szCs w:val="22"/>
        </w:rPr>
        <w:t xml:space="preserve"> in the current year</w:t>
      </w:r>
      <w:r>
        <w:rPr>
          <w:sz w:val="22"/>
          <w:szCs w:val="22"/>
        </w:rPr>
        <w:t>, when reversed</w:t>
      </w:r>
      <w:r w:rsidR="003D7147">
        <w:rPr>
          <w:sz w:val="22"/>
          <w:szCs w:val="22"/>
        </w:rPr>
        <w:t xml:space="preserve"> in the next fiscal year</w:t>
      </w:r>
      <w:r>
        <w:rPr>
          <w:sz w:val="22"/>
          <w:szCs w:val="22"/>
        </w:rPr>
        <w:t xml:space="preserve">, </w:t>
      </w:r>
      <w:r w:rsidR="002A7F3E">
        <w:rPr>
          <w:sz w:val="22"/>
          <w:szCs w:val="22"/>
        </w:rPr>
        <w:t xml:space="preserve">the reversing journal </w:t>
      </w:r>
      <w:r w:rsidR="003D7147">
        <w:rPr>
          <w:sz w:val="22"/>
          <w:szCs w:val="22"/>
        </w:rPr>
        <w:t>may</w:t>
      </w:r>
      <w:r w:rsidR="002A7F3E">
        <w:rPr>
          <w:sz w:val="22"/>
          <w:szCs w:val="22"/>
        </w:rPr>
        <w:t xml:space="preserve"> contain appropriation indexes that are </w:t>
      </w:r>
      <w:r>
        <w:rPr>
          <w:sz w:val="22"/>
          <w:szCs w:val="22"/>
        </w:rPr>
        <w:t xml:space="preserve">no longer </w:t>
      </w:r>
      <w:proofErr w:type="spellStart"/>
      <w:r>
        <w:rPr>
          <w:sz w:val="22"/>
          <w:szCs w:val="22"/>
        </w:rPr>
        <w:t>vaid</w:t>
      </w:r>
      <w:proofErr w:type="spellEnd"/>
      <w:r>
        <w:rPr>
          <w:sz w:val="22"/>
          <w:szCs w:val="22"/>
        </w:rPr>
        <w:t>.</w:t>
      </w:r>
      <w:r w:rsidR="002A7F3E">
        <w:rPr>
          <w:sz w:val="22"/>
          <w:szCs w:val="22"/>
        </w:rPr>
        <w:t xml:space="preserve"> W</w:t>
      </w:r>
      <w:r>
        <w:rPr>
          <w:sz w:val="22"/>
          <w:szCs w:val="22"/>
        </w:rPr>
        <w:t xml:space="preserve">hen the actual expense </w:t>
      </w:r>
      <w:proofErr w:type="gramStart"/>
      <w:r w:rsidR="002A7F3E">
        <w:rPr>
          <w:sz w:val="22"/>
          <w:szCs w:val="22"/>
        </w:rPr>
        <w:t>are</w:t>
      </w:r>
      <w:proofErr w:type="gramEnd"/>
      <w:r>
        <w:rPr>
          <w:sz w:val="22"/>
          <w:szCs w:val="22"/>
        </w:rPr>
        <w:t xml:space="preserve"> entered, it </w:t>
      </w:r>
      <w:r w:rsidR="003D7147">
        <w:rPr>
          <w:sz w:val="22"/>
          <w:szCs w:val="22"/>
        </w:rPr>
        <w:t xml:space="preserve">also </w:t>
      </w:r>
      <w:r>
        <w:rPr>
          <w:sz w:val="22"/>
          <w:szCs w:val="22"/>
        </w:rPr>
        <w:t xml:space="preserve">can no longer utilize the </w:t>
      </w:r>
      <w:r w:rsidR="00816CC5">
        <w:rPr>
          <w:sz w:val="22"/>
          <w:szCs w:val="22"/>
        </w:rPr>
        <w:t>invalid</w:t>
      </w:r>
      <w:r>
        <w:rPr>
          <w:sz w:val="22"/>
          <w:szCs w:val="22"/>
        </w:rPr>
        <w:t xml:space="preserve"> appropriation index.</w:t>
      </w:r>
    </w:p>
    <w:p w14:paraId="1BF19321" w14:textId="77777777" w:rsidR="002A7F3E" w:rsidRDefault="002A7F3E" w:rsidP="002A7F3E">
      <w:pPr>
        <w:pStyle w:val="Default"/>
        <w:spacing w:after="120" w:line="300" w:lineRule="exact"/>
        <w:ind w:left="720"/>
        <w:rPr>
          <w:sz w:val="22"/>
          <w:szCs w:val="22"/>
        </w:rPr>
      </w:pPr>
      <w:r>
        <w:rPr>
          <w:sz w:val="22"/>
          <w:szCs w:val="22"/>
        </w:rPr>
        <w:t>AFRS will not accept these closed appropriation indexes, which leads to errors in our reporting.</w:t>
      </w:r>
    </w:p>
    <w:p w14:paraId="1DA629D7" w14:textId="77777777" w:rsidR="00DE0EF4" w:rsidRPr="002A7F3E" w:rsidRDefault="00DE0EF4" w:rsidP="002A7F3E">
      <w:pPr>
        <w:pStyle w:val="Default"/>
        <w:numPr>
          <w:ilvl w:val="0"/>
          <w:numId w:val="8"/>
        </w:numPr>
        <w:spacing w:after="120"/>
        <w:rPr>
          <w:b/>
          <w:bCs/>
          <w:sz w:val="22"/>
          <w:szCs w:val="22"/>
        </w:rPr>
      </w:pPr>
      <w:r w:rsidRPr="002A7F3E">
        <w:rPr>
          <w:b/>
          <w:bCs/>
          <w:sz w:val="22"/>
          <w:szCs w:val="22"/>
        </w:rPr>
        <w:t>Grants</w:t>
      </w:r>
    </w:p>
    <w:p w14:paraId="0A9FD036" w14:textId="77777777" w:rsidR="002A7F3E" w:rsidRDefault="0084248F" w:rsidP="0084248F">
      <w:pPr>
        <w:pStyle w:val="Default"/>
        <w:spacing w:after="120" w:line="300" w:lineRule="exact"/>
        <w:ind w:left="720"/>
        <w:rPr>
          <w:sz w:val="22"/>
          <w:szCs w:val="22"/>
        </w:rPr>
      </w:pPr>
      <w:r>
        <w:rPr>
          <w:sz w:val="22"/>
          <w:szCs w:val="22"/>
        </w:rPr>
        <w:t xml:space="preserve">When cost-collect grant expenditures are entered, either by voucher or journal entry, a cost-collection process happens which creates a journal entry to book revenue against a receivable (unbilled receivable). </w:t>
      </w:r>
      <w:r w:rsidR="0036196F">
        <w:rPr>
          <w:sz w:val="22"/>
          <w:szCs w:val="22"/>
        </w:rPr>
        <w:t>The process happens based on entry date, rather than accounting date. So, for any expenditures entered in July, even if they have an accounting date of June, the cost collect journal will recognize the revenue in the new year.</w:t>
      </w:r>
    </w:p>
    <w:p w14:paraId="30035673" w14:textId="77777777" w:rsidR="0036196F" w:rsidRDefault="0036196F" w:rsidP="0084248F">
      <w:pPr>
        <w:pStyle w:val="Default"/>
        <w:spacing w:after="120" w:line="300" w:lineRule="exact"/>
        <w:ind w:left="720"/>
        <w:rPr>
          <w:sz w:val="22"/>
          <w:szCs w:val="22"/>
        </w:rPr>
      </w:pPr>
      <w:r>
        <w:rPr>
          <w:sz w:val="22"/>
          <w:szCs w:val="22"/>
        </w:rPr>
        <w:t xml:space="preserve">That means, any revenue recognized in the new year, for </w:t>
      </w:r>
      <w:proofErr w:type="spellStart"/>
      <w:r>
        <w:rPr>
          <w:sz w:val="22"/>
          <w:szCs w:val="22"/>
        </w:rPr>
        <w:t>expendures</w:t>
      </w:r>
      <w:proofErr w:type="spellEnd"/>
      <w:r>
        <w:rPr>
          <w:sz w:val="22"/>
          <w:szCs w:val="22"/>
        </w:rPr>
        <w:t xml:space="preserve"> 6/30 or prior, will have to be accrued into</w:t>
      </w:r>
      <w:r w:rsidR="003D7147">
        <w:rPr>
          <w:sz w:val="22"/>
          <w:szCs w:val="22"/>
        </w:rPr>
        <w:t xml:space="preserve"> the correct fiscal year with a reversing journal (reversed in new fiscal year). If you accrue, reverse, and then re-enter your expenditures, this creates additional lines in your </w:t>
      </w:r>
      <w:proofErr w:type="spellStart"/>
      <w:r w:rsidR="003D7147">
        <w:rPr>
          <w:sz w:val="22"/>
          <w:szCs w:val="22"/>
        </w:rPr>
        <w:t>Proj</w:t>
      </w:r>
      <w:proofErr w:type="spellEnd"/>
      <w:r w:rsidR="003D7147">
        <w:rPr>
          <w:sz w:val="22"/>
          <w:szCs w:val="22"/>
        </w:rPr>
        <w:t>/resource table for billing purposes.</w:t>
      </w:r>
    </w:p>
    <w:p w14:paraId="0B18416A" w14:textId="77777777" w:rsidR="00C45D30" w:rsidRDefault="00C45D30" w:rsidP="00DE0EF4">
      <w:pPr>
        <w:pStyle w:val="Default"/>
        <w:spacing w:line="300" w:lineRule="exact"/>
        <w:rPr>
          <w:sz w:val="22"/>
          <w:szCs w:val="22"/>
        </w:rPr>
      </w:pPr>
    </w:p>
    <w:p w14:paraId="3C92257F" w14:textId="77777777" w:rsidR="00FE69B4" w:rsidRPr="00F65341" w:rsidRDefault="00FE69B4">
      <w:pPr>
        <w:rPr>
          <w:rFonts w:ascii="Century Gothic" w:hAnsi="Century Gothic" w:cs="Century Gothic"/>
          <w:b/>
          <w:bCs/>
          <w:color w:val="000000"/>
          <w:sz w:val="22"/>
          <w:szCs w:val="22"/>
        </w:rPr>
      </w:pPr>
      <w:r w:rsidRPr="00F65341">
        <w:rPr>
          <w:b/>
          <w:bCs/>
          <w:sz w:val="22"/>
          <w:szCs w:val="22"/>
        </w:rPr>
        <w:br w:type="page"/>
      </w:r>
    </w:p>
    <w:p w14:paraId="4DB5567F" w14:textId="77777777" w:rsidR="00C45D30" w:rsidRPr="005002E1" w:rsidRDefault="00C45D30" w:rsidP="005002E1">
      <w:pPr>
        <w:pStyle w:val="Default"/>
        <w:spacing w:after="120"/>
        <w:rPr>
          <w:sz w:val="22"/>
          <w:szCs w:val="22"/>
          <w:u w:val="single"/>
        </w:rPr>
      </w:pPr>
      <w:r w:rsidRPr="005002E1">
        <w:rPr>
          <w:b/>
          <w:bCs/>
          <w:sz w:val="22"/>
          <w:szCs w:val="22"/>
          <w:u w:val="single"/>
        </w:rPr>
        <w:lastRenderedPageBreak/>
        <w:t xml:space="preserve">Recommended Solution: </w:t>
      </w:r>
    </w:p>
    <w:p w14:paraId="40C42C6A" w14:textId="77777777" w:rsidR="000B5EB7" w:rsidRDefault="00C45D30" w:rsidP="003D7147">
      <w:pPr>
        <w:pStyle w:val="Default"/>
        <w:spacing w:after="120" w:line="300" w:lineRule="exact"/>
        <w:rPr>
          <w:sz w:val="22"/>
          <w:szCs w:val="22"/>
        </w:rPr>
      </w:pPr>
      <w:r>
        <w:rPr>
          <w:sz w:val="22"/>
          <w:szCs w:val="22"/>
        </w:rPr>
        <w:t xml:space="preserve">Any solution must ensure we meet the needs of our </w:t>
      </w:r>
      <w:r w:rsidR="00FE69B4">
        <w:rPr>
          <w:sz w:val="22"/>
          <w:szCs w:val="22"/>
        </w:rPr>
        <w:t>state reporting (AFRS)</w:t>
      </w:r>
      <w:r w:rsidR="0093629A">
        <w:rPr>
          <w:sz w:val="22"/>
          <w:szCs w:val="22"/>
        </w:rPr>
        <w:t xml:space="preserve"> while also minimizing the workload impact on our colleges.</w:t>
      </w:r>
    </w:p>
    <w:p w14:paraId="40E8B606" w14:textId="4CD3A5BB" w:rsidR="00BB6119" w:rsidRPr="00B42899" w:rsidRDefault="00BB6119" w:rsidP="00BB6119">
      <w:pPr>
        <w:rPr>
          <w:rFonts w:ascii="Century Gothic" w:hAnsi="Century Gothic"/>
          <w:sz w:val="22"/>
          <w:szCs w:val="22"/>
        </w:rPr>
      </w:pPr>
      <w:r w:rsidRPr="00BB6119">
        <w:rPr>
          <w:rFonts w:ascii="Century Gothic" w:hAnsi="Century Gothic"/>
          <w:b/>
          <w:bCs/>
          <w:sz w:val="22"/>
          <w:szCs w:val="22"/>
        </w:rPr>
        <w:t>Note:</w:t>
      </w:r>
      <w:r w:rsidRPr="00BB6119">
        <w:rPr>
          <w:rFonts w:ascii="Century Gothic" w:hAnsi="Century Gothic"/>
          <w:sz w:val="22"/>
          <w:szCs w:val="22"/>
        </w:rPr>
        <w:t xml:space="preserve"> When these instructions reference a “fixed” </w:t>
      </w:r>
      <w:proofErr w:type="spellStart"/>
      <w:r w:rsidRPr="00BB6119">
        <w:rPr>
          <w:rFonts w:ascii="Century Gothic" w:hAnsi="Century Gothic"/>
          <w:sz w:val="22"/>
          <w:szCs w:val="22"/>
        </w:rPr>
        <w:t>chartstring</w:t>
      </w:r>
      <w:proofErr w:type="spellEnd"/>
      <w:r w:rsidRPr="00BB6119">
        <w:rPr>
          <w:rFonts w:ascii="Century Gothic" w:hAnsi="Century Gothic"/>
          <w:sz w:val="22"/>
          <w:szCs w:val="22"/>
        </w:rPr>
        <w:t xml:space="preserve"> – The fund would be </w:t>
      </w:r>
      <w:r w:rsidR="00620C72">
        <w:rPr>
          <w:rFonts w:ascii="Century Gothic" w:hAnsi="Century Gothic"/>
          <w:sz w:val="22"/>
          <w:szCs w:val="22"/>
        </w:rPr>
        <w:t>146</w:t>
      </w:r>
      <w:r w:rsidRPr="00BB6119">
        <w:rPr>
          <w:rFonts w:ascii="Century Gothic" w:hAnsi="Century Gothic"/>
          <w:sz w:val="22"/>
          <w:szCs w:val="22"/>
        </w:rPr>
        <w:t xml:space="preserve">. The remaining </w:t>
      </w:r>
      <w:proofErr w:type="spellStart"/>
      <w:r w:rsidRPr="00BB6119">
        <w:rPr>
          <w:rFonts w:ascii="Century Gothic" w:hAnsi="Century Gothic"/>
          <w:sz w:val="22"/>
          <w:szCs w:val="22"/>
        </w:rPr>
        <w:t>chartstring</w:t>
      </w:r>
      <w:proofErr w:type="spellEnd"/>
      <w:r w:rsidRPr="00BB6119">
        <w:rPr>
          <w:rFonts w:ascii="Century Gothic" w:hAnsi="Century Gothic"/>
          <w:sz w:val="22"/>
          <w:szCs w:val="22"/>
        </w:rPr>
        <w:t xml:space="preserve"> would be a suspense department and class</w:t>
      </w:r>
      <w:r w:rsidR="00411A10">
        <w:rPr>
          <w:rFonts w:ascii="Century Gothic" w:hAnsi="Century Gothic"/>
          <w:sz w:val="22"/>
          <w:szCs w:val="22"/>
        </w:rPr>
        <w:t xml:space="preserve"> </w:t>
      </w:r>
      <w:r w:rsidR="00411A10" w:rsidRPr="00B42899">
        <w:rPr>
          <w:rFonts w:ascii="Century Gothic" w:hAnsi="Century Gothic"/>
          <w:sz w:val="22"/>
          <w:szCs w:val="22"/>
        </w:rPr>
        <w:t xml:space="preserve">that will be locally determined by </w:t>
      </w:r>
      <w:proofErr w:type="gramStart"/>
      <w:r w:rsidR="00411A10" w:rsidRPr="00B42899">
        <w:rPr>
          <w:rFonts w:ascii="Century Gothic" w:hAnsi="Century Gothic"/>
          <w:sz w:val="22"/>
          <w:szCs w:val="22"/>
        </w:rPr>
        <w:t>the each</w:t>
      </w:r>
      <w:proofErr w:type="gramEnd"/>
      <w:r w:rsidR="00411A10" w:rsidRPr="00B42899">
        <w:rPr>
          <w:rFonts w:ascii="Century Gothic" w:hAnsi="Century Gothic"/>
          <w:sz w:val="22"/>
          <w:szCs w:val="22"/>
        </w:rPr>
        <w:t xml:space="preserve"> college.</w:t>
      </w:r>
    </w:p>
    <w:p w14:paraId="3A9BE403" w14:textId="77777777" w:rsidR="002F4A54" w:rsidRDefault="002F4A54" w:rsidP="003D7147">
      <w:pPr>
        <w:pStyle w:val="Default"/>
        <w:spacing w:after="120" w:line="300" w:lineRule="exact"/>
        <w:rPr>
          <w:sz w:val="22"/>
          <w:szCs w:val="22"/>
        </w:rPr>
      </w:pPr>
    </w:p>
    <w:p w14:paraId="09872D25" w14:textId="77777777" w:rsidR="002F4A54" w:rsidRPr="002F4A54" w:rsidRDefault="002F4A54" w:rsidP="003D7147">
      <w:pPr>
        <w:pStyle w:val="Default"/>
        <w:spacing w:after="120" w:line="300" w:lineRule="exact"/>
        <w:rPr>
          <w:b/>
          <w:bCs/>
          <w:sz w:val="22"/>
          <w:szCs w:val="22"/>
        </w:rPr>
      </w:pPr>
      <w:r w:rsidRPr="002F4A54">
        <w:rPr>
          <w:b/>
          <w:bCs/>
          <w:sz w:val="22"/>
          <w:szCs w:val="22"/>
        </w:rPr>
        <w:t>Expenses:</w:t>
      </w:r>
    </w:p>
    <w:p w14:paraId="21DBA70E" w14:textId="77777777" w:rsidR="000F5CF6" w:rsidRDefault="000F5CF6" w:rsidP="003D7147">
      <w:pPr>
        <w:pStyle w:val="Default"/>
        <w:spacing w:after="120" w:line="300" w:lineRule="exact"/>
        <w:rPr>
          <w:sz w:val="22"/>
          <w:szCs w:val="22"/>
        </w:rPr>
      </w:pPr>
      <w:r>
        <w:rPr>
          <w:sz w:val="22"/>
          <w:szCs w:val="22"/>
        </w:rPr>
        <w:t xml:space="preserve">Accrue journals for expenses should </w:t>
      </w:r>
      <w:r w:rsidRPr="000F5CF6">
        <w:rPr>
          <w:b/>
          <w:bCs/>
          <w:sz w:val="22"/>
          <w:szCs w:val="22"/>
          <w:u w:val="single"/>
        </w:rPr>
        <w:t>(do not reverse this journal)</w:t>
      </w:r>
      <w:r>
        <w:rPr>
          <w:sz w:val="22"/>
          <w:szCs w:val="22"/>
        </w:rPr>
        <w:t>:</w:t>
      </w:r>
    </w:p>
    <w:p w14:paraId="02A489EC" w14:textId="77777777" w:rsidR="000F5CF6" w:rsidRDefault="000F5CF6" w:rsidP="003D7147">
      <w:pPr>
        <w:pStyle w:val="Default"/>
        <w:spacing w:after="120" w:line="300" w:lineRule="exact"/>
        <w:rPr>
          <w:sz w:val="22"/>
          <w:szCs w:val="22"/>
        </w:rPr>
      </w:pPr>
      <w:r>
        <w:rPr>
          <w:sz w:val="22"/>
          <w:szCs w:val="22"/>
        </w:rPr>
        <w:tab/>
        <w:t xml:space="preserve">Debit Expense (5xx account), utilizing full </w:t>
      </w:r>
      <w:proofErr w:type="spellStart"/>
      <w:r>
        <w:rPr>
          <w:sz w:val="22"/>
          <w:szCs w:val="22"/>
        </w:rPr>
        <w:t>chartstring</w:t>
      </w:r>
      <w:proofErr w:type="spellEnd"/>
      <w:r>
        <w:rPr>
          <w:sz w:val="22"/>
          <w:szCs w:val="22"/>
        </w:rPr>
        <w:t xml:space="preserve"> for expense</w:t>
      </w:r>
    </w:p>
    <w:p w14:paraId="7D4BE14C" w14:textId="77777777" w:rsidR="000F5CF6" w:rsidRDefault="000F5CF6" w:rsidP="003D7147">
      <w:pPr>
        <w:pStyle w:val="Default"/>
        <w:spacing w:after="120" w:line="300" w:lineRule="exact"/>
        <w:rPr>
          <w:sz w:val="22"/>
          <w:szCs w:val="22"/>
        </w:rPr>
      </w:pPr>
      <w:r>
        <w:rPr>
          <w:sz w:val="22"/>
          <w:szCs w:val="22"/>
        </w:rPr>
        <w:tab/>
        <w:t xml:space="preserve">   Credit Internal Cash (1000199), utilizing full </w:t>
      </w:r>
      <w:proofErr w:type="spellStart"/>
      <w:r>
        <w:rPr>
          <w:sz w:val="22"/>
          <w:szCs w:val="22"/>
        </w:rPr>
        <w:t>chartstring</w:t>
      </w:r>
      <w:proofErr w:type="spellEnd"/>
      <w:r>
        <w:rPr>
          <w:sz w:val="22"/>
          <w:szCs w:val="22"/>
        </w:rPr>
        <w:t xml:space="preserve"> for expense</w:t>
      </w:r>
    </w:p>
    <w:p w14:paraId="630F1426" w14:textId="77777777" w:rsidR="00C45D30" w:rsidRDefault="000F5CF6" w:rsidP="000F5CF6">
      <w:pPr>
        <w:pStyle w:val="Default"/>
        <w:spacing w:after="120" w:line="300" w:lineRule="exact"/>
        <w:rPr>
          <w:sz w:val="22"/>
          <w:szCs w:val="22"/>
        </w:rPr>
      </w:pPr>
      <w:r>
        <w:rPr>
          <w:sz w:val="22"/>
          <w:szCs w:val="22"/>
        </w:rPr>
        <w:tab/>
        <w:t xml:space="preserve">Debit Internal Cash (1000199), using </w:t>
      </w:r>
      <w:r w:rsidRPr="00F51094">
        <w:rPr>
          <w:b/>
          <w:bCs/>
          <w:sz w:val="22"/>
          <w:szCs w:val="22"/>
        </w:rPr>
        <w:t>fixed</w:t>
      </w:r>
      <w:r>
        <w:rPr>
          <w:sz w:val="22"/>
          <w:szCs w:val="22"/>
        </w:rPr>
        <w:t xml:space="preserve"> </w:t>
      </w:r>
      <w:proofErr w:type="spellStart"/>
      <w:r>
        <w:rPr>
          <w:sz w:val="22"/>
          <w:szCs w:val="22"/>
        </w:rPr>
        <w:t>chartstring</w:t>
      </w:r>
      <w:proofErr w:type="spellEnd"/>
      <w:r>
        <w:rPr>
          <w:sz w:val="22"/>
          <w:szCs w:val="22"/>
        </w:rPr>
        <w:t xml:space="preserve"> for accrual</w:t>
      </w:r>
    </w:p>
    <w:p w14:paraId="5484EA2B" w14:textId="77777777" w:rsidR="000F5CF6" w:rsidRDefault="000F5CF6" w:rsidP="000F5CF6">
      <w:pPr>
        <w:pStyle w:val="Default"/>
        <w:spacing w:after="120" w:line="300" w:lineRule="exact"/>
        <w:rPr>
          <w:sz w:val="22"/>
          <w:szCs w:val="22"/>
        </w:rPr>
      </w:pPr>
      <w:r>
        <w:rPr>
          <w:sz w:val="22"/>
          <w:szCs w:val="22"/>
        </w:rPr>
        <w:tab/>
        <w:t xml:space="preserve">   Credit Accrued Liability (</w:t>
      </w:r>
      <w:r w:rsidR="00F65341">
        <w:rPr>
          <w:sz w:val="22"/>
          <w:szCs w:val="22"/>
        </w:rPr>
        <w:t>2001090</w:t>
      </w:r>
      <w:r>
        <w:rPr>
          <w:sz w:val="22"/>
          <w:szCs w:val="22"/>
        </w:rPr>
        <w:t xml:space="preserve">), using </w:t>
      </w:r>
      <w:r w:rsidRPr="00F51094">
        <w:rPr>
          <w:b/>
          <w:bCs/>
          <w:sz w:val="22"/>
          <w:szCs w:val="22"/>
        </w:rPr>
        <w:t>fixed</w:t>
      </w:r>
      <w:r>
        <w:rPr>
          <w:sz w:val="22"/>
          <w:szCs w:val="22"/>
        </w:rPr>
        <w:t xml:space="preserve"> </w:t>
      </w:r>
      <w:proofErr w:type="spellStart"/>
      <w:r>
        <w:rPr>
          <w:sz w:val="22"/>
          <w:szCs w:val="22"/>
        </w:rPr>
        <w:t>chartstring</w:t>
      </w:r>
      <w:proofErr w:type="spellEnd"/>
      <w:r>
        <w:rPr>
          <w:sz w:val="22"/>
          <w:szCs w:val="22"/>
        </w:rPr>
        <w:t xml:space="preserve"> for accrual</w:t>
      </w:r>
    </w:p>
    <w:p w14:paraId="0A1850D6" w14:textId="77777777" w:rsidR="000F5CF6" w:rsidRDefault="000F5CF6" w:rsidP="000F5CF6">
      <w:pPr>
        <w:pStyle w:val="Default"/>
        <w:spacing w:after="120" w:line="300" w:lineRule="exact"/>
        <w:rPr>
          <w:sz w:val="22"/>
          <w:szCs w:val="22"/>
        </w:rPr>
      </w:pPr>
    </w:p>
    <w:p w14:paraId="61E1D3B8" w14:textId="77777777" w:rsidR="000F5CF6" w:rsidRDefault="000F5CF6" w:rsidP="000F5CF6">
      <w:pPr>
        <w:pStyle w:val="Default"/>
        <w:spacing w:after="120" w:line="300" w:lineRule="exact"/>
        <w:rPr>
          <w:sz w:val="22"/>
          <w:szCs w:val="22"/>
        </w:rPr>
      </w:pPr>
      <w:r>
        <w:rPr>
          <w:sz w:val="22"/>
          <w:szCs w:val="22"/>
        </w:rPr>
        <w:t xml:space="preserve">When voucher is created, use Accrued Liability account with fixed </w:t>
      </w:r>
      <w:proofErr w:type="spellStart"/>
      <w:r>
        <w:rPr>
          <w:sz w:val="22"/>
          <w:szCs w:val="22"/>
        </w:rPr>
        <w:t>chartstring</w:t>
      </w:r>
      <w:proofErr w:type="spellEnd"/>
      <w:r w:rsidR="00E25982">
        <w:rPr>
          <w:sz w:val="22"/>
          <w:szCs w:val="22"/>
        </w:rPr>
        <w:t>.</w:t>
      </w:r>
    </w:p>
    <w:p w14:paraId="2F84199A" w14:textId="77777777" w:rsidR="00E25982" w:rsidRDefault="00E25982" w:rsidP="000F5CF6">
      <w:pPr>
        <w:pStyle w:val="Default"/>
        <w:spacing w:after="120" w:line="300" w:lineRule="exact"/>
        <w:rPr>
          <w:sz w:val="22"/>
          <w:szCs w:val="22"/>
        </w:rPr>
      </w:pPr>
      <w:r>
        <w:rPr>
          <w:sz w:val="22"/>
          <w:szCs w:val="22"/>
        </w:rPr>
        <w:tab/>
        <w:t>Debit Accrued Liability (</w:t>
      </w:r>
      <w:r w:rsidR="00F65341">
        <w:rPr>
          <w:sz w:val="22"/>
          <w:szCs w:val="22"/>
        </w:rPr>
        <w:t>2001090</w:t>
      </w:r>
      <w:r>
        <w:rPr>
          <w:sz w:val="22"/>
          <w:szCs w:val="22"/>
        </w:rPr>
        <w:t xml:space="preserve">), using </w:t>
      </w:r>
      <w:r w:rsidRPr="00287B6C">
        <w:rPr>
          <w:b/>
          <w:bCs/>
          <w:sz w:val="22"/>
          <w:szCs w:val="22"/>
        </w:rPr>
        <w:t>fixed</w:t>
      </w:r>
      <w:r>
        <w:rPr>
          <w:sz w:val="22"/>
          <w:szCs w:val="22"/>
        </w:rPr>
        <w:t xml:space="preserve"> </w:t>
      </w:r>
      <w:proofErr w:type="spellStart"/>
      <w:r>
        <w:rPr>
          <w:sz w:val="22"/>
          <w:szCs w:val="22"/>
        </w:rPr>
        <w:t>chartstring</w:t>
      </w:r>
      <w:proofErr w:type="spellEnd"/>
      <w:r>
        <w:rPr>
          <w:sz w:val="22"/>
          <w:szCs w:val="22"/>
        </w:rPr>
        <w:t xml:space="preserve"> for accrual</w:t>
      </w:r>
    </w:p>
    <w:p w14:paraId="79D70807" w14:textId="77777777" w:rsidR="00E25982" w:rsidRDefault="00E25982" w:rsidP="000F5CF6">
      <w:pPr>
        <w:pStyle w:val="Default"/>
        <w:spacing w:after="120" w:line="300" w:lineRule="exact"/>
        <w:rPr>
          <w:sz w:val="22"/>
          <w:szCs w:val="22"/>
        </w:rPr>
      </w:pPr>
      <w:r>
        <w:rPr>
          <w:sz w:val="22"/>
          <w:szCs w:val="22"/>
        </w:rPr>
        <w:tab/>
        <w:t xml:space="preserve">   Credit Accounts Payable Liability (2000010), using </w:t>
      </w:r>
      <w:r w:rsidRPr="00287B6C">
        <w:rPr>
          <w:b/>
          <w:bCs/>
          <w:sz w:val="22"/>
          <w:szCs w:val="22"/>
        </w:rPr>
        <w:t>fixed</w:t>
      </w:r>
      <w:r>
        <w:rPr>
          <w:sz w:val="22"/>
          <w:szCs w:val="22"/>
        </w:rPr>
        <w:t xml:space="preserve"> </w:t>
      </w:r>
      <w:proofErr w:type="spellStart"/>
      <w:r>
        <w:rPr>
          <w:sz w:val="22"/>
          <w:szCs w:val="22"/>
        </w:rPr>
        <w:t>chartstring</w:t>
      </w:r>
      <w:proofErr w:type="spellEnd"/>
      <w:r>
        <w:rPr>
          <w:sz w:val="22"/>
          <w:szCs w:val="22"/>
        </w:rPr>
        <w:t xml:space="preserve"> for accrual</w:t>
      </w:r>
    </w:p>
    <w:p w14:paraId="495BE1A3" w14:textId="77777777" w:rsidR="00E25982" w:rsidRDefault="00E25982" w:rsidP="000F5CF6">
      <w:pPr>
        <w:pStyle w:val="Default"/>
        <w:spacing w:after="120" w:line="300" w:lineRule="exact"/>
        <w:rPr>
          <w:sz w:val="22"/>
          <w:szCs w:val="22"/>
        </w:rPr>
      </w:pPr>
      <w:r>
        <w:rPr>
          <w:sz w:val="22"/>
          <w:szCs w:val="22"/>
        </w:rPr>
        <w:t>When the voucher is paid:</w:t>
      </w:r>
    </w:p>
    <w:p w14:paraId="64EC1609" w14:textId="77777777" w:rsidR="00E25982" w:rsidRDefault="00E25982" w:rsidP="000F5CF6">
      <w:pPr>
        <w:pStyle w:val="Default"/>
        <w:spacing w:after="120" w:line="300" w:lineRule="exact"/>
        <w:rPr>
          <w:sz w:val="22"/>
          <w:szCs w:val="22"/>
        </w:rPr>
      </w:pPr>
      <w:r>
        <w:rPr>
          <w:sz w:val="22"/>
          <w:szCs w:val="22"/>
        </w:rPr>
        <w:tab/>
        <w:t xml:space="preserve">Debit Accounts Payable Liability (2000010), using </w:t>
      </w:r>
      <w:r w:rsidRPr="00287B6C">
        <w:rPr>
          <w:b/>
          <w:bCs/>
          <w:sz w:val="22"/>
          <w:szCs w:val="22"/>
        </w:rPr>
        <w:t>fixed</w:t>
      </w:r>
      <w:r>
        <w:rPr>
          <w:sz w:val="22"/>
          <w:szCs w:val="22"/>
        </w:rPr>
        <w:t xml:space="preserve"> </w:t>
      </w:r>
      <w:proofErr w:type="spellStart"/>
      <w:r>
        <w:rPr>
          <w:sz w:val="22"/>
          <w:szCs w:val="22"/>
        </w:rPr>
        <w:t>chartstring</w:t>
      </w:r>
      <w:proofErr w:type="spellEnd"/>
      <w:r>
        <w:rPr>
          <w:sz w:val="22"/>
          <w:szCs w:val="22"/>
        </w:rPr>
        <w:t xml:space="preserve"> for accrual</w:t>
      </w:r>
    </w:p>
    <w:p w14:paraId="50163FB8" w14:textId="77777777" w:rsidR="00E25982" w:rsidRDefault="00E25982" w:rsidP="000F5CF6">
      <w:pPr>
        <w:pStyle w:val="Default"/>
        <w:spacing w:after="120" w:line="300" w:lineRule="exact"/>
        <w:rPr>
          <w:sz w:val="22"/>
          <w:szCs w:val="22"/>
        </w:rPr>
      </w:pPr>
      <w:r>
        <w:rPr>
          <w:sz w:val="22"/>
          <w:szCs w:val="22"/>
        </w:rPr>
        <w:tab/>
        <w:t xml:space="preserve">   Credit Cash (1000070), using </w:t>
      </w:r>
      <w:r w:rsidRPr="00287B6C">
        <w:rPr>
          <w:b/>
          <w:bCs/>
          <w:sz w:val="22"/>
          <w:szCs w:val="22"/>
        </w:rPr>
        <w:t>fixed</w:t>
      </w:r>
      <w:r>
        <w:rPr>
          <w:sz w:val="22"/>
          <w:szCs w:val="22"/>
        </w:rPr>
        <w:t xml:space="preserve"> </w:t>
      </w:r>
      <w:proofErr w:type="spellStart"/>
      <w:r>
        <w:rPr>
          <w:sz w:val="22"/>
          <w:szCs w:val="22"/>
        </w:rPr>
        <w:t>chartstring</w:t>
      </w:r>
      <w:proofErr w:type="spellEnd"/>
      <w:r>
        <w:rPr>
          <w:sz w:val="22"/>
          <w:szCs w:val="22"/>
        </w:rPr>
        <w:t xml:space="preserve"> for accrual</w:t>
      </w:r>
    </w:p>
    <w:p w14:paraId="009757A1" w14:textId="77777777" w:rsidR="00E25982" w:rsidRDefault="00E25982" w:rsidP="000F5CF6">
      <w:pPr>
        <w:pStyle w:val="Default"/>
        <w:spacing w:after="120" w:line="300" w:lineRule="exact"/>
        <w:rPr>
          <w:sz w:val="22"/>
          <w:szCs w:val="22"/>
        </w:rPr>
      </w:pPr>
    </w:p>
    <w:p w14:paraId="4909708A" w14:textId="77777777" w:rsidR="00E25982" w:rsidRDefault="00E25982" w:rsidP="000F5CF6">
      <w:pPr>
        <w:pStyle w:val="Default"/>
        <w:spacing w:after="120" w:line="300" w:lineRule="exact"/>
        <w:rPr>
          <w:sz w:val="22"/>
          <w:szCs w:val="22"/>
        </w:rPr>
      </w:pPr>
      <w:r>
        <w:rPr>
          <w:sz w:val="22"/>
          <w:szCs w:val="22"/>
        </w:rPr>
        <w:t>Net results:</w:t>
      </w:r>
    </w:p>
    <w:p w14:paraId="0A2F28B1" w14:textId="77777777" w:rsidR="00E25982" w:rsidRDefault="00E25982" w:rsidP="002F4A54">
      <w:pPr>
        <w:pStyle w:val="Default"/>
        <w:spacing w:after="120" w:line="300" w:lineRule="exact"/>
        <w:ind w:left="720"/>
        <w:rPr>
          <w:sz w:val="22"/>
          <w:szCs w:val="22"/>
        </w:rPr>
      </w:pPr>
      <w:r>
        <w:rPr>
          <w:sz w:val="22"/>
          <w:szCs w:val="22"/>
        </w:rPr>
        <w:t xml:space="preserve">Debit Expense (5xx account), utilizing full </w:t>
      </w:r>
      <w:proofErr w:type="spellStart"/>
      <w:r>
        <w:rPr>
          <w:sz w:val="22"/>
          <w:szCs w:val="22"/>
        </w:rPr>
        <w:t>chartstring</w:t>
      </w:r>
      <w:proofErr w:type="spellEnd"/>
      <w:r>
        <w:rPr>
          <w:sz w:val="22"/>
          <w:szCs w:val="22"/>
        </w:rPr>
        <w:t xml:space="preserve"> for expense</w:t>
      </w:r>
    </w:p>
    <w:p w14:paraId="4E38C2FA" w14:textId="77777777" w:rsidR="00E25982" w:rsidRDefault="00E25982" w:rsidP="002F4A54">
      <w:pPr>
        <w:pStyle w:val="Default"/>
        <w:spacing w:after="120" w:line="300" w:lineRule="exact"/>
        <w:ind w:left="720"/>
        <w:rPr>
          <w:sz w:val="22"/>
          <w:szCs w:val="22"/>
        </w:rPr>
      </w:pPr>
      <w:r>
        <w:rPr>
          <w:sz w:val="22"/>
          <w:szCs w:val="22"/>
        </w:rPr>
        <w:t xml:space="preserve">   Credit Internal Cash (1000199), utilizing full </w:t>
      </w:r>
      <w:proofErr w:type="spellStart"/>
      <w:r>
        <w:rPr>
          <w:sz w:val="22"/>
          <w:szCs w:val="22"/>
        </w:rPr>
        <w:t>chartstring</w:t>
      </w:r>
      <w:proofErr w:type="spellEnd"/>
      <w:r>
        <w:rPr>
          <w:sz w:val="22"/>
          <w:szCs w:val="22"/>
        </w:rPr>
        <w:t xml:space="preserve"> for expense</w:t>
      </w:r>
    </w:p>
    <w:p w14:paraId="729CBEE5" w14:textId="77777777" w:rsidR="00E25982" w:rsidRDefault="00E25982" w:rsidP="002F4A54">
      <w:pPr>
        <w:pStyle w:val="Default"/>
        <w:spacing w:after="120" w:line="300" w:lineRule="exact"/>
        <w:ind w:left="720"/>
        <w:rPr>
          <w:sz w:val="22"/>
          <w:szCs w:val="22"/>
        </w:rPr>
      </w:pPr>
      <w:r>
        <w:rPr>
          <w:sz w:val="22"/>
          <w:szCs w:val="22"/>
        </w:rPr>
        <w:t xml:space="preserve">Debit Internal Cash (1000199), using </w:t>
      </w:r>
      <w:r w:rsidRPr="00287B6C">
        <w:rPr>
          <w:b/>
          <w:bCs/>
          <w:sz w:val="22"/>
          <w:szCs w:val="22"/>
        </w:rPr>
        <w:t>fixed</w:t>
      </w:r>
      <w:r>
        <w:rPr>
          <w:sz w:val="22"/>
          <w:szCs w:val="22"/>
        </w:rPr>
        <w:t xml:space="preserve"> </w:t>
      </w:r>
      <w:proofErr w:type="spellStart"/>
      <w:r>
        <w:rPr>
          <w:sz w:val="22"/>
          <w:szCs w:val="22"/>
        </w:rPr>
        <w:t>chartstring</w:t>
      </w:r>
      <w:proofErr w:type="spellEnd"/>
      <w:r>
        <w:rPr>
          <w:sz w:val="22"/>
          <w:szCs w:val="22"/>
        </w:rPr>
        <w:t xml:space="preserve"> for accrual</w:t>
      </w:r>
    </w:p>
    <w:p w14:paraId="02543B60" w14:textId="77777777" w:rsidR="002F4A54" w:rsidRDefault="002F4A54" w:rsidP="002F4A54">
      <w:pPr>
        <w:pStyle w:val="Default"/>
        <w:spacing w:after="120" w:line="300" w:lineRule="exact"/>
        <w:ind w:left="720"/>
        <w:rPr>
          <w:sz w:val="22"/>
          <w:szCs w:val="22"/>
        </w:rPr>
      </w:pPr>
      <w:r>
        <w:rPr>
          <w:sz w:val="22"/>
          <w:szCs w:val="22"/>
        </w:rPr>
        <w:t xml:space="preserve">   Credit Cash (1000070), using </w:t>
      </w:r>
      <w:r w:rsidRPr="00287B6C">
        <w:rPr>
          <w:b/>
          <w:bCs/>
          <w:sz w:val="22"/>
          <w:szCs w:val="22"/>
        </w:rPr>
        <w:t>fixed</w:t>
      </w:r>
      <w:r>
        <w:rPr>
          <w:sz w:val="22"/>
          <w:szCs w:val="22"/>
        </w:rPr>
        <w:t xml:space="preserve"> </w:t>
      </w:r>
      <w:proofErr w:type="spellStart"/>
      <w:r>
        <w:rPr>
          <w:sz w:val="22"/>
          <w:szCs w:val="22"/>
        </w:rPr>
        <w:t>chartstring</w:t>
      </w:r>
      <w:proofErr w:type="spellEnd"/>
      <w:r>
        <w:rPr>
          <w:sz w:val="22"/>
          <w:szCs w:val="22"/>
        </w:rPr>
        <w:t xml:space="preserve"> for accrual</w:t>
      </w:r>
    </w:p>
    <w:p w14:paraId="74767FCE" w14:textId="77777777" w:rsidR="002F4A54" w:rsidRDefault="002F4A54" w:rsidP="002F4A54">
      <w:pPr>
        <w:pStyle w:val="Default"/>
        <w:spacing w:after="120" w:line="300" w:lineRule="exact"/>
        <w:rPr>
          <w:sz w:val="22"/>
          <w:szCs w:val="22"/>
        </w:rPr>
      </w:pPr>
    </w:p>
    <w:p w14:paraId="0111E8F2" w14:textId="77777777" w:rsidR="002F4A54" w:rsidRDefault="002F4A54" w:rsidP="002F4A54">
      <w:pPr>
        <w:pStyle w:val="Default"/>
        <w:spacing w:after="120" w:line="300" w:lineRule="exact"/>
        <w:rPr>
          <w:sz w:val="22"/>
          <w:szCs w:val="22"/>
        </w:rPr>
      </w:pPr>
      <w:r>
        <w:rPr>
          <w:sz w:val="22"/>
          <w:szCs w:val="22"/>
        </w:rPr>
        <w:t>In period 132 or 133, and Internal cash entry will be made to move all strings in 1000199 to 1000070. This will then leave:</w:t>
      </w:r>
    </w:p>
    <w:p w14:paraId="27222DB5" w14:textId="77777777" w:rsidR="002F4A54" w:rsidRDefault="002F4A54" w:rsidP="002F4A54">
      <w:pPr>
        <w:pStyle w:val="Default"/>
        <w:spacing w:after="120" w:line="300" w:lineRule="exact"/>
        <w:rPr>
          <w:sz w:val="22"/>
          <w:szCs w:val="22"/>
        </w:rPr>
      </w:pPr>
      <w:r>
        <w:rPr>
          <w:sz w:val="22"/>
          <w:szCs w:val="22"/>
        </w:rPr>
        <w:tab/>
        <w:t xml:space="preserve">Debit Expense (5xx account), utilizing full </w:t>
      </w:r>
      <w:proofErr w:type="spellStart"/>
      <w:r>
        <w:rPr>
          <w:sz w:val="22"/>
          <w:szCs w:val="22"/>
        </w:rPr>
        <w:t>chartstring</w:t>
      </w:r>
      <w:proofErr w:type="spellEnd"/>
      <w:r>
        <w:rPr>
          <w:sz w:val="22"/>
          <w:szCs w:val="22"/>
        </w:rPr>
        <w:t xml:space="preserve"> for expense</w:t>
      </w:r>
    </w:p>
    <w:p w14:paraId="65404F85" w14:textId="77777777" w:rsidR="002F4A54" w:rsidRDefault="002F4A54" w:rsidP="002F4A54">
      <w:pPr>
        <w:pStyle w:val="Default"/>
        <w:spacing w:after="120" w:line="300" w:lineRule="exact"/>
        <w:rPr>
          <w:sz w:val="22"/>
          <w:szCs w:val="22"/>
        </w:rPr>
      </w:pPr>
      <w:r>
        <w:rPr>
          <w:sz w:val="22"/>
          <w:szCs w:val="22"/>
        </w:rPr>
        <w:tab/>
        <w:t xml:space="preserve">   Credit 1000070, utilizing full </w:t>
      </w:r>
      <w:proofErr w:type="spellStart"/>
      <w:r>
        <w:rPr>
          <w:sz w:val="22"/>
          <w:szCs w:val="22"/>
        </w:rPr>
        <w:t>chartstring</w:t>
      </w:r>
      <w:proofErr w:type="spellEnd"/>
      <w:r>
        <w:rPr>
          <w:sz w:val="22"/>
          <w:szCs w:val="22"/>
        </w:rPr>
        <w:t xml:space="preserve"> for expense</w:t>
      </w:r>
    </w:p>
    <w:p w14:paraId="6F3793B1" w14:textId="77777777" w:rsidR="002F4A54" w:rsidRDefault="002F4A54" w:rsidP="002F4A54">
      <w:pPr>
        <w:pStyle w:val="Default"/>
        <w:spacing w:after="120" w:line="300" w:lineRule="exact"/>
        <w:rPr>
          <w:sz w:val="22"/>
          <w:szCs w:val="22"/>
        </w:rPr>
      </w:pPr>
    </w:p>
    <w:p w14:paraId="4229E4E3" w14:textId="77777777" w:rsidR="00F65341" w:rsidRDefault="00F65341" w:rsidP="002F4A54">
      <w:pPr>
        <w:pStyle w:val="Default"/>
        <w:spacing w:after="120" w:line="300" w:lineRule="exact"/>
        <w:rPr>
          <w:sz w:val="22"/>
          <w:szCs w:val="22"/>
        </w:rPr>
      </w:pPr>
    </w:p>
    <w:p w14:paraId="5C3EAE68" w14:textId="77777777" w:rsidR="002F4A54" w:rsidRDefault="002F4A54" w:rsidP="002F4A54">
      <w:pPr>
        <w:pStyle w:val="Default"/>
        <w:spacing w:after="120" w:line="300" w:lineRule="exact"/>
        <w:rPr>
          <w:sz w:val="22"/>
          <w:szCs w:val="22"/>
        </w:rPr>
      </w:pPr>
      <w:r>
        <w:rPr>
          <w:sz w:val="22"/>
          <w:szCs w:val="22"/>
        </w:rPr>
        <w:t>If the accrual was done incorrectly, all adjustments would be made in the new year to reverse errored amounts.</w:t>
      </w:r>
    </w:p>
    <w:p w14:paraId="6BB5B2BB" w14:textId="77777777" w:rsidR="000E75BF" w:rsidRPr="000E75BF" w:rsidRDefault="000E75BF" w:rsidP="002F4A54">
      <w:pPr>
        <w:pStyle w:val="Default"/>
        <w:spacing w:after="120" w:line="300" w:lineRule="exact"/>
        <w:rPr>
          <w:sz w:val="22"/>
          <w:szCs w:val="22"/>
          <w:u w:val="single"/>
        </w:rPr>
      </w:pPr>
      <w:r w:rsidRPr="000E75BF">
        <w:rPr>
          <w:sz w:val="22"/>
          <w:szCs w:val="22"/>
          <w:u w:val="single"/>
        </w:rPr>
        <w:t>To accrue “Due to” payables:</w:t>
      </w:r>
    </w:p>
    <w:p w14:paraId="34969FCD" w14:textId="77777777" w:rsidR="000E75BF" w:rsidRDefault="000E75BF" w:rsidP="002F4A54">
      <w:pPr>
        <w:pStyle w:val="Default"/>
        <w:spacing w:after="120" w:line="300" w:lineRule="exact"/>
        <w:rPr>
          <w:sz w:val="22"/>
          <w:szCs w:val="22"/>
        </w:rPr>
      </w:pPr>
      <w:r>
        <w:rPr>
          <w:sz w:val="22"/>
          <w:szCs w:val="22"/>
        </w:rPr>
        <w:t>Note: this accrual journal should be reversing (</w:t>
      </w:r>
      <w:r w:rsidRPr="00D2156F">
        <w:rPr>
          <w:b/>
          <w:bCs/>
          <w:sz w:val="22"/>
          <w:szCs w:val="22"/>
        </w:rPr>
        <w:t>use the auto reverse feature – make sure to post at the same time the original journal is posted</w:t>
      </w:r>
      <w:r>
        <w:rPr>
          <w:sz w:val="22"/>
          <w:szCs w:val="22"/>
        </w:rPr>
        <w:t>)</w:t>
      </w:r>
      <w:r w:rsidR="00D2156F">
        <w:rPr>
          <w:sz w:val="22"/>
          <w:szCs w:val="22"/>
        </w:rPr>
        <w:t xml:space="preserve">. This should be done with a </w:t>
      </w:r>
      <w:r w:rsidR="00D2156F" w:rsidRPr="00CF0509">
        <w:rPr>
          <w:b/>
          <w:bCs/>
          <w:sz w:val="22"/>
          <w:szCs w:val="22"/>
        </w:rPr>
        <w:t>fixed</w:t>
      </w:r>
      <w:r w:rsidR="00D2156F">
        <w:rPr>
          <w:sz w:val="22"/>
          <w:szCs w:val="22"/>
        </w:rPr>
        <w:t xml:space="preserve"> </w:t>
      </w:r>
      <w:proofErr w:type="spellStart"/>
      <w:r w:rsidR="00D2156F">
        <w:rPr>
          <w:sz w:val="22"/>
          <w:szCs w:val="22"/>
        </w:rPr>
        <w:t>chartstring</w:t>
      </w:r>
      <w:proofErr w:type="spellEnd"/>
      <w:r w:rsidR="00D2156F">
        <w:rPr>
          <w:sz w:val="22"/>
          <w:szCs w:val="22"/>
        </w:rPr>
        <w:t>.</w:t>
      </w:r>
    </w:p>
    <w:p w14:paraId="117D5CA8" w14:textId="77777777" w:rsidR="000E75BF" w:rsidRDefault="000E75BF" w:rsidP="002F4A54">
      <w:pPr>
        <w:pStyle w:val="Default"/>
        <w:spacing w:after="120" w:line="300" w:lineRule="exact"/>
        <w:rPr>
          <w:sz w:val="22"/>
          <w:szCs w:val="22"/>
        </w:rPr>
      </w:pPr>
      <w:r>
        <w:rPr>
          <w:sz w:val="22"/>
          <w:szCs w:val="22"/>
        </w:rPr>
        <w:tab/>
        <w:t>Debit Accounts Payable (2000010)</w:t>
      </w:r>
    </w:p>
    <w:p w14:paraId="11586310" w14:textId="77777777" w:rsidR="000E75BF" w:rsidRDefault="000E75BF" w:rsidP="002F4A54">
      <w:pPr>
        <w:pStyle w:val="Default"/>
        <w:spacing w:after="120" w:line="300" w:lineRule="exact"/>
        <w:rPr>
          <w:sz w:val="22"/>
          <w:szCs w:val="22"/>
        </w:rPr>
      </w:pPr>
      <w:r>
        <w:rPr>
          <w:sz w:val="22"/>
          <w:szCs w:val="22"/>
        </w:rPr>
        <w:tab/>
        <w:t xml:space="preserve">    Credit Due to payable (</w:t>
      </w:r>
      <w:r w:rsidR="00771F5F">
        <w:rPr>
          <w:sz w:val="22"/>
          <w:szCs w:val="22"/>
        </w:rPr>
        <w:t>2012</w:t>
      </w:r>
      <w:r w:rsidR="003E58C6">
        <w:rPr>
          <w:sz w:val="22"/>
          <w:szCs w:val="22"/>
        </w:rPr>
        <w:t>050</w:t>
      </w:r>
      <w:r>
        <w:rPr>
          <w:sz w:val="22"/>
          <w:szCs w:val="22"/>
        </w:rPr>
        <w:t>)</w:t>
      </w:r>
    </w:p>
    <w:p w14:paraId="06DD21FA" w14:textId="77777777" w:rsidR="000E75BF" w:rsidRDefault="000E75BF" w:rsidP="002F4A54">
      <w:pPr>
        <w:pStyle w:val="Default"/>
        <w:spacing w:after="120" w:line="300" w:lineRule="exact"/>
        <w:rPr>
          <w:sz w:val="22"/>
          <w:szCs w:val="22"/>
        </w:rPr>
      </w:pPr>
    </w:p>
    <w:p w14:paraId="6C6D1A08" w14:textId="77777777" w:rsidR="000E75BF" w:rsidRDefault="000E75BF" w:rsidP="002F4A54">
      <w:pPr>
        <w:pStyle w:val="Default"/>
        <w:spacing w:after="120" w:line="300" w:lineRule="exact"/>
        <w:rPr>
          <w:sz w:val="22"/>
          <w:szCs w:val="22"/>
        </w:rPr>
      </w:pPr>
    </w:p>
    <w:p w14:paraId="308C972C" w14:textId="77777777" w:rsidR="002F4A54" w:rsidRPr="002F4A54" w:rsidRDefault="002F4A54" w:rsidP="002F4A54">
      <w:pPr>
        <w:pStyle w:val="Default"/>
        <w:spacing w:after="120" w:line="300" w:lineRule="exact"/>
        <w:rPr>
          <w:b/>
          <w:bCs/>
          <w:sz w:val="22"/>
          <w:szCs w:val="22"/>
        </w:rPr>
      </w:pPr>
      <w:r w:rsidRPr="002F4A54">
        <w:rPr>
          <w:b/>
          <w:bCs/>
          <w:sz w:val="22"/>
          <w:szCs w:val="22"/>
        </w:rPr>
        <w:t>Revenue:</w:t>
      </w:r>
    </w:p>
    <w:p w14:paraId="1C904CFA" w14:textId="77777777" w:rsidR="002F4A54" w:rsidRDefault="002F4A54" w:rsidP="002F4A54">
      <w:pPr>
        <w:pStyle w:val="Default"/>
        <w:spacing w:after="120" w:line="300" w:lineRule="exact"/>
        <w:rPr>
          <w:sz w:val="22"/>
          <w:szCs w:val="22"/>
        </w:rPr>
      </w:pPr>
      <w:r>
        <w:rPr>
          <w:sz w:val="22"/>
          <w:szCs w:val="22"/>
        </w:rPr>
        <w:t xml:space="preserve">Accrued </w:t>
      </w:r>
      <w:r w:rsidR="00B02553">
        <w:rPr>
          <w:sz w:val="22"/>
          <w:szCs w:val="22"/>
        </w:rPr>
        <w:t>journals for revenue should be reversing (</w:t>
      </w:r>
      <w:r w:rsidR="00B02553" w:rsidRPr="00D2156F">
        <w:rPr>
          <w:b/>
          <w:bCs/>
          <w:sz w:val="22"/>
          <w:szCs w:val="22"/>
        </w:rPr>
        <w:t>use the auto reverse feature – make sure to post at the same time the original journal is posted</w:t>
      </w:r>
      <w:r w:rsidR="00B02553">
        <w:rPr>
          <w:sz w:val="22"/>
          <w:szCs w:val="22"/>
        </w:rPr>
        <w:t>):</w:t>
      </w:r>
    </w:p>
    <w:p w14:paraId="66E5CC10" w14:textId="77777777" w:rsidR="00B02553" w:rsidRDefault="00B02553" w:rsidP="002F4A54">
      <w:pPr>
        <w:pStyle w:val="Default"/>
        <w:spacing w:after="120" w:line="300" w:lineRule="exact"/>
        <w:rPr>
          <w:sz w:val="22"/>
          <w:szCs w:val="22"/>
        </w:rPr>
      </w:pPr>
      <w:r w:rsidRPr="00350B2A">
        <w:rPr>
          <w:sz w:val="22"/>
          <w:szCs w:val="22"/>
          <w:u w:val="single"/>
        </w:rPr>
        <w:t>For Cost Reimbursable Grants</w:t>
      </w:r>
      <w:r>
        <w:rPr>
          <w:sz w:val="22"/>
          <w:szCs w:val="22"/>
        </w:rPr>
        <w:t>:</w:t>
      </w:r>
    </w:p>
    <w:p w14:paraId="18D27953" w14:textId="77777777" w:rsidR="00350B2A" w:rsidRDefault="00350B2A" w:rsidP="002F4A54">
      <w:pPr>
        <w:pStyle w:val="Default"/>
        <w:spacing w:after="120" w:line="300" w:lineRule="exact"/>
        <w:rPr>
          <w:sz w:val="22"/>
          <w:szCs w:val="22"/>
        </w:rPr>
      </w:pPr>
      <w:r>
        <w:rPr>
          <w:sz w:val="22"/>
          <w:szCs w:val="22"/>
        </w:rPr>
        <w:t>To account for the cost collection process happening in the wrong year:</w:t>
      </w:r>
    </w:p>
    <w:p w14:paraId="5D853420" w14:textId="77777777" w:rsidR="00FC7E04" w:rsidRDefault="00FC7E04" w:rsidP="002F4A54">
      <w:pPr>
        <w:pStyle w:val="Default"/>
        <w:spacing w:after="120" w:line="300" w:lineRule="exact"/>
        <w:rPr>
          <w:sz w:val="22"/>
          <w:szCs w:val="22"/>
        </w:rPr>
      </w:pPr>
      <w:r>
        <w:rPr>
          <w:sz w:val="22"/>
          <w:szCs w:val="22"/>
        </w:rPr>
        <w:t>Note: This is easier to identify if you hold back entering any 7/1 forward expenses until you close period 12. That way you can copy the CAPC journals rather than having to figure out what is/isn’t included in which period. This will not help with journals in your adjustment periods, but they are easier to identify.</w:t>
      </w:r>
    </w:p>
    <w:p w14:paraId="5A2D9AB2" w14:textId="77777777" w:rsidR="00B644F8" w:rsidRDefault="00B644F8" w:rsidP="002F4A54">
      <w:pPr>
        <w:pStyle w:val="Default"/>
        <w:spacing w:after="120" w:line="300" w:lineRule="exact"/>
        <w:rPr>
          <w:sz w:val="22"/>
          <w:szCs w:val="22"/>
        </w:rPr>
      </w:pPr>
      <w:r>
        <w:rPr>
          <w:sz w:val="22"/>
          <w:szCs w:val="22"/>
        </w:rPr>
        <w:t>CAPC</w:t>
      </w:r>
    </w:p>
    <w:p w14:paraId="22948E29" w14:textId="77777777" w:rsidR="00350B2A" w:rsidRDefault="00350B2A" w:rsidP="002F4A54">
      <w:pPr>
        <w:pStyle w:val="Default"/>
        <w:spacing w:after="120" w:line="300" w:lineRule="exact"/>
        <w:rPr>
          <w:sz w:val="22"/>
          <w:szCs w:val="22"/>
        </w:rPr>
      </w:pPr>
      <w:r>
        <w:rPr>
          <w:sz w:val="22"/>
          <w:szCs w:val="22"/>
        </w:rPr>
        <w:tab/>
        <w:t xml:space="preserve">Debit unbilled receivable, with actual </w:t>
      </w:r>
      <w:proofErr w:type="spellStart"/>
      <w:proofErr w:type="gramStart"/>
      <w:r>
        <w:rPr>
          <w:sz w:val="22"/>
          <w:szCs w:val="22"/>
        </w:rPr>
        <w:t>chartstring</w:t>
      </w:r>
      <w:proofErr w:type="spellEnd"/>
      <w:r w:rsidR="00800D72">
        <w:rPr>
          <w:sz w:val="22"/>
          <w:szCs w:val="22"/>
        </w:rPr>
        <w:t xml:space="preserve">  (</w:t>
      </w:r>
      <w:proofErr w:type="gramEnd"/>
      <w:r w:rsidR="00800D72">
        <w:rPr>
          <w:sz w:val="22"/>
          <w:szCs w:val="22"/>
        </w:rPr>
        <w:t>1010050)</w:t>
      </w:r>
    </w:p>
    <w:p w14:paraId="381E7929" w14:textId="77777777" w:rsidR="00350B2A" w:rsidRDefault="00350B2A" w:rsidP="002F4A54">
      <w:pPr>
        <w:pStyle w:val="Default"/>
        <w:spacing w:after="120" w:line="300" w:lineRule="exact"/>
        <w:rPr>
          <w:sz w:val="22"/>
          <w:szCs w:val="22"/>
        </w:rPr>
      </w:pPr>
      <w:r>
        <w:rPr>
          <w:sz w:val="22"/>
          <w:szCs w:val="22"/>
        </w:rPr>
        <w:tab/>
        <w:t xml:space="preserve">    Credit Revenue, with actual </w:t>
      </w:r>
      <w:proofErr w:type="spellStart"/>
      <w:proofErr w:type="gramStart"/>
      <w:r>
        <w:rPr>
          <w:sz w:val="22"/>
          <w:szCs w:val="22"/>
        </w:rPr>
        <w:t>chartstring</w:t>
      </w:r>
      <w:proofErr w:type="spellEnd"/>
      <w:r w:rsidR="00800D72">
        <w:rPr>
          <w:sz w:val="22"/>
          <w:szCs w:val="22"/>
        </w:rPr>
        <w:t xml:space="preserve">  (</w:t>
      </w:r>
      <w:proofErr w:type="gramEnd"/>
      <w:r w:rsidR="00800D72">
        <w:rPr>
          <w:sz w:val="22"/>
          <w:szCs w:val="22"/>
        </w:rPr>
        <w:t>4xxxxxx)</w:t>
      </w:r>
    </w:p>
    <w:p w14:paraId="041AF191" w14:textId="77777777" w:rsidR="00350B2A" w:rsidRPr="00B644F8" w:rsidRDefault="00B644F8" w:rsidP="002F4A54">
      <w:pPr>
        <w:pStyle w:val="Default"/>
        <w:spacing w:after="120" w:line="300" w:lineRule="exact"/>
        <w:rPr>
          <w:sz w:val="22"/>
          <w:szCs w:val="22"/>
        </w:rPr>
      </w:pPr>
      <w:proofErr w:type="spellStart"/>
      <w:r w:rsidRPr="00B644F8">
        <w:rPr>
          <w:sz w:val="22"/>
          <w:szCs w:val="22"/>
        </w:rPr>
        <w:t>Accural</w:t>
      </w:r>
      <w:proofErr w:type="spellEnd"/>
    </w:p>
    <w:p w14:paraId="18B1E8B9" w14:textId="77777777" w:rsidR="00B644F8" w:rsidRDefault="00B644F8" w:rsidP="00B644F8">
      <w:pPr>
        <w:pStyle w:val="Default"/>
        <w:spacing w:after="120" w:line="300" w:lineRule="exact"/>
        <w:rPr>
          <w:sz w:val="22"/>
          <w:szCs w:val="22"/>
        </w:rPr>
      </w:pPr>
      <w:r>
        <w:rPr>
          <w:sz w:val="22"/>
          <w:szCs w:val="22"/>
        </w:rPr>
        <w:tab/>
        <w:t xml:space="preserve">Debit receivable, with actual </w:t>
      </w:r>
      <w:proofErr w:type="spellStart"/>
      <w:proofErr w:type="gramStart"/>
      <w:r>
        <w:rPr>
          <w:sz w:val="22"/>
          <w:szCs w:val="22"/>
        </w:rPr>
        <w:t>chartstring</w:t>
      </w:r>
      <w:proofErr w:type="spellEnd"/>
      <w:r>
        <w:rPr>
          <w:sz w:val="22"/>
          <w:szCs w:val="22"/>
        </w:rPr>
        <w:t xml:space="preserve">  (</w:t>
      </w:r>
      <w:proofErr w:type="gramEnd"/>
      <w:r>
        <w:rPr>
          <w:sz w:val="22"/>
          <w:szCs w:val="22"/>
        </w:rPr>
        <w:t>101xxxx)</w:t>
      </w:r>
    </w:p>
    <w:p w14:paraId="7C39B8A7" w14:textId="77777777" w:rsidR="00B644F8" w:rsidRDefault="00B644F8" w:rsidP="00B644F8">
      <w:pPr>
        <w:pStyle w:val="Default"/>
        <w:spacing w:after="120" w:line="300" w:lineRule="exact"/>
        <w:rPr>
          <w:sz w:val="22"/>
          <w:szCs w:val="22"/>
        </w:rPr>
      </w:pPr>
      <w:r>
        <w:rPr>
          <w:sz w:val="22"/>
          <w:szCs w:val="22"/>
        </w:rPr>
        <w:tab/>
        <w:t xml:space="preserve">    Credit unbilled receivable, with actual </w:t>
      </w:r>
      <w:proofErr w:type="spellStart"/>
      <w:proofErr w:type="gramStart"/>
      <w:r>
        <w:rPr>
          <w:sz w:val="22"/>
          <w:szCs w:val="22"/>
        </w:rPr>
        <w:t>chartstring</w:t>
      </w:r>
      <w:proofErr w:type="spellEnd"/>
      <w:r>
        <w:rPr>
          <w:sz w:val="22"/>
          <w:szCs w:val="22"/>
        </w:rPr>
        <w:t xml:space="preserve">  (</w:t>
      </w:r>
      <w:proofErr w:type="gramEnd"/>
      <w:r>
        <w:rPr>
          <w:sz w:val="22"/>
          <w:szCs w:val="22"/>
        </w:rPr>
        <w:t>1010050)</w:t>
      </w:r>
    </w:p>
    <w:p w14:paraId="4D6DC864" w14:textId="77777777" w:rsidR="00350B2A" w:rsidRDefault="00350B2A" w:rsidP="002F4A54">
      <w:pPr>
        <w:pStyle w:val="Default"/>
        <w:spacing w:after="120" w:line="300" w:lineRule="exact"/>
        <w:rPr>
          <w:sz w:val="22"/>
          <w:szCs w:val="22"/>
          <w:u w:val="single"/>
        </w:rPr>
      </w:pPr>
    </w:p>
    <w:p w14:paraId="07AD898F" w14:textId="77777777" w:rsidR="00B02553" w:rsidRPr="000E75BF" w:rsidRDefault="00B02553" w:rsidP="002F4A54">
      <w:pPr>
        <w:pStyle w:val="Default"/>
        <w:spacing w:after="120" w:line="300" w:lineRule="exact"/>
        <w:rPr>
          <w:sz w:val="22"/>
          <w:szCs w:val="22"/>
        </w:rPr>
      </w:pPr>
      <w:r w:rsidRPr="000E75BF">
        <w:rPr>
          <w:sz w:val="22"/>
          <w:szCs w:val="22"/>
        </w:rPr>
        <w:t>For Fix Price grants or non</w:t>
      </w:r>
      <w:r w:rsidR="00D2156F">
        <w:rPr>
          <w:sz w:val="22"/>
          <w:szCs w:val="22"/>
        </w:rPr>
        <w:t>-</w:t>
      </w:r>
      <w:r w:rsidRPr="000E75BF">
        <w:rPr>
          <w:sz w:val="22"/>
          <w:szCs w:val="22"/>
        </w:rPr>
        <w:t>grant billing:</w:t>
      </w:r>
    </w:p>
    <w:p w14:paraId="2782F5A3" w14:textId="77777777" w:rsidR="00B02553" w:rsidRDefault="00B02553" w:rsidP="002F4A54">
      <w:pPr>
        <w:pStyle w:val="Default"/>
        <w:spacing w:after="120" w:line="300" w:lineRule="exact"/>
        <w:rPr>
          <w:sz w:val="22"/>
          <w:szCs w:val="22"/>
        </w:rPr>
      </w:pPr>
      <w:r>
        <w:rPr>
          <w:sz w:val="22"/>
          <w:szCs w:val="22"/>
        </w:rPr>
        <w:tab/>
        <w:t xml:space="preserve">Debit receivable, with actual </w:t>
      </w:r>
      <w:proofErr w:type="spellStart"/>
      <w:r>
        <w:rPr>
          <w:sz w:val="22"/>
          <w:szCs w:val="22"/>
        </w:rPr>
        <w:t>chartstring</w:t>
      </w:r>
      <w:proofErr w:type="spellEnd"/>
      <w:r w:rsidR="00800D72">
        <w:rPr>
          <w:sz w:val="22"/>
          <w:szCs w:val="22"/>
        </w:rPr>
        <w:t xml:space="preserve"> (1010xxx)</w:t>
      </w:r>
    </w:p>
    <w:p w14:paraId="66163B04" w14:textId="77777777" w:rsidR="00B02553" w:rsidRDefault="00B02553" w:rsidP="002F4A54">
      <w:pPr>
        <w:pStyle w:val="Default"/>
        <w:spacing w:after="120" w:line="300" w:lineRule="exact"/>
        <w:rPr>
          <w:sz w:val="22"/>
          <w:szCs w:val="22"/>
        </w:rPr>
      </w:pPr>
      <w:r>
        <w:rPr>
          <w:sz w:val="22"/>
          <w:szCs w:val="22"/>
        </w:rPr>
        <w:tab/>
        <w:t xml:space="preserve">    Credit Revenue, with actual </w:t>
      </w:r>
      <w:proofErr w:type="spellStart"/>
      <w:r>
        <w:rPr>
          <w:sz w:val="22"/>
          <w:szCs w:val="22"/>
        </w:rPr>
        <w:t>chartstring</w:t>
      </w:r>
      <w:proofErr w:type="spellEnd"/>
      <w:r w:rsidR="00800D72">
        <w:rPr>
          <w:sz w:val="22"/>
          <w:szCs w:val="22"/>
        </w:rPr>
        <w:t xml:space="preserve"> (4xxxxxx)</w:t>
      </w:r>
    </w:p>
    <w:p w14:paraId="7DE2E942" w14:textId="77777777" w:rsidR="008D5DD0" w:rsidRDefault="008D5DD0">
      <w:pPr>
        <w:rPr>
          <w:rFonts w:ascii="Century Gothic" w:hAnsi="Century Gothic" w:cs="Century Gothic"/>
          <w:color w:val="000000"/>
          <w:sz w:val="22"/>
          <w:szCs w:val="22"/>
        </w:rPr>
      </w:pPr>
      <w:r>
        <w:rPr>
          <w:sz w:val="22"/>
          <w:szCs w:val="22"/>
        </w:rPr>
        <w:br w:type="page"/>
      </w:r>
    </w:p>
    <w:p w14:paraId="051B7CE5" w14:textId="77777777" w:rsidR="00B02553" w:rsidRDefault="00B02553" w:rsidP="002F4A54">
      <w:pPr>
        <w:pStyle w:val="Default"/>
        <w:spacing w:after="120" w:line="300" w:lineRule="exact"/>
        <w:rPr>
          <w:sz w:val="22"/>
          <w:szCs w:val="22"/>
        </w:rPr>
      </w:pPr>
    </w:p>
    <w:p w14:paraId="0A9310AC" w14:textId="77777777" w:rsidR="00B644F8" w:rsidRDefault="00B644F8" w:rsidP="00B644F8">
      <w:pPr>
        <w:pStyle w:val="Default"/>
        <w:spacing w:after="120" w:line="300" w:lineRule="exact"/>
        <w:rPr>
          <w:sz w:val="22"/>
          <w:szCs w:val="22"/>
          <w:u w:val="single"/>
        </w:rPr>
      </w:pPr>
      <w:r>
        <w:rPr>
          <w:sz w:val="22"/>
          <w:szCs w:val="22"/>
          <w:u w:val="single"/>
        </w:rPr>
        <w:t>To accrue “Due from” receivables</w:t>
      </w:r>
      <w:proofErr w:type="gramStart"/>
      <w:r>
        <w:rPr>
          <w:sz w:val="22"/>
          <w:szCs w:val="22"/>
          <w:u w:val="single"/>
        </w:rPr>
        <w:t>:  (</w:t>
      </w:r>
      <w:proofErr w:type="gramEnd"/>
      <w:r>
        <w:rPr>
          <w:sz w:val="22"/>
          <w:szCs w:val="22"/>
          <w:u w:val="single"/>
        </w:rPr>
        <w:t>fixed string)</w:t>
      </w:r>
    </w:p>
    <w:p w14:paraId="46F341CB" w14:textId="77777777" w:rsidR="00B644F8" w:rsidRDefault="00B644F8" w:rsidP="00B644F8">
      <w:pPr>
        <w:pStyle w:val="Default"/>
        <w:spacing w:after="120" w:line="300" w:lineRule="exact"/>
        <w:rPr>
          <w:sz w:val="22"/>
          <w:szCs w:val="22"/>
        </w:rPr>
      </w:pPr>
      <w:r>
        <w:rPr>
          <w:sz w:val="22"/>
          <w:szCs w:val="22"/>
        </w:rPr>
        <w:t>For cost collect grants:</w:t>
      </w:r>
    </w:p>
    <w:p w14:paraId="7D2FE222" w14:textId="77777777" w:rsidR="00B644F8" w:rsidRDefault="00B644F8" w:rsidP="00B644F8">
      <w:pPr>
        <w:pStyle w:val="Default"/>
        <w:spacing w:after="120" w:line="300" w:lineRule="exact"/>
        <w:rPr>
          <w:sz w:val="22"/>
          <w:szCs w:val="22"/>
        </w:rPr>
      </w:pPr>
      <w:r>
        <w:rPr>
          <w:sz w:val="22"/>
          <w:szCs w:val="22"/>
        </w:rPr>
        <w:tab/>
        <w:t xml:space="preserve">Debit due from receivable </w:t>
      </w:r>
      <w:proofErr w:type="gramStart"/>
      <w:r>
        <w:rPr>
          <w:sz w:val="22"/>
          <w:szCs w:val="22"/>
        </w:rPr>
        <w:t>account  (</w:t>
      </w:r>
      <w:proofErr w:type="gramEnd"/>
      <w:r>
        <w:rPr>
          <w:sz w:val="22"/>
          <w:szCs w:val="22"/>
        </w:rPr>
        <w:t>1010</w:t>
      </w:r>
      <w:r w:rsidR="003E58C6">
        <w:rPr>
          <w:sz w:val="22"/>
          <w:szCs w:val="22"/>
        </w:rPr>
        <w:t>180</w:t>
      </w:r>
      <w:r>
        <w:rPr>
          <w:sz w:val="22"/>
          <w:szCs w:val="22"/>
        </w:rPr>
        <w:t>)</w:t>
      </w:r>
    </w:p>
    <w:p w14:paraId="310326F1" w14:textId="77777777" w:rsidR="00B644F8" w:rsidRPr="00350B2A" w:rsidRDefault="00B644F8" w:rsidP="00B644F8">
      <w:pPr>
        <w:pStyle w:val="Default"/>
        <w:spacing w:after="120" w:line="300" w:lineRule="exact"/>
        <w:rPr>
          <w:sz w:val="22"/>
          <w:szCs w:val="22"/>
        </w:rPr>
      </w:pPr>
      <w:r>
        <w:rPr>
          <w:sz w:val="22"/>
          <w:szCs w:val="22"/>
        </w:rPr>
        <w:tab/>
        <w:t xml:space="preserve">    Credit Accounts Receivable </w:t>
      </w:r>
      <w:proofErr w:type="gramStart"/>
      <w:r>
        <w:rPr>
          <w:sz w:val="22"/>
          <w:szCs w:val="22"/>
        </w:rPr>
        <w:t>ST  (</w:t>
      </w:r>
      <w:proofErr w:type="gramEnd"/>
      <w:r>
        <w:rPr>
          <w:sz w:val="22"/>
          <w:szCs w:val="22"/>
        </w:rPr>
        <w:t>1010020)</w:t>
      </w:r>
    </w:p>
    <w:p w14:paraId="60F9B74D" w14:textId="77777777" w:rsidR="00DC072E" w:rsidRPr="002F4A54" w:rsidRDefault="00DC072E" w:rsidP="00DC072E">
      <w:pPr>
        <w:pStyle w:val="Default"/>
        <w:spacing w:after="120" w:line="300" w:lineRule="exact"/>
        <w:rPr>
          <w:b/>
          <w:bCs/>
          <w:sz w:val="22"/>
          <w:szCs w:val="22"/>
        </w:rPr>
      </w:pPr>
      <w:r>
        <w:rPr>
          <w:b/>
          <w:bCs/>
          <w:sz w:val="22"/>
          <w:szCs w:val="22"/>
        </w:rPr>
        <w:t>VPA</w:t>
      </w:r>
      <w:r w:rsidRPr="002F4A54">
        <w:rPr>
          <w:b/>
          <w:bCs/>
          <w:sz w:val="22"/>
          <w:szCs w:val="22"/>
        </w:rPr>
        <w:t>:</w:t>
      </w:r>
    </w:p>
    <w:p w14:paraId="66F9F750" w14:textId="77777777" w:rsidR="00DC072E" w:rsidRDefault="00DC072E" w:rsidP="00DC072E">
      <w:pPr>
        <w:pStyle w:val="Default"/>
        <w:spacing w:after="120" w:line="300" w:lineRule="exact"/>
        <w:rPr>
          <w:sz w:val="22"/>
          <w:szCs w:val="22"/>
        </w:rPr>
      </w:pPr>
      <w:r>
        <w:rPr>
          <w:sz w:val="22"/>
          <w:szCs w:val="22"/>
        </w:rPr>
        <w:t>Accrued journals for VPA billings should be reversing (</w:t>
      </w:r>
      <w:r w:rsidRPr="00D2156F">
        <w:rPr>
          <w:b/>
          <w:bCs/>
          <w:sz w:val="22"/>
          <w:szCs w:val="22"/>
        </w:rPr>
        <w:t>use the auto reverse feature – make sure to post at the same time the original journal is posted</w:t>
      </w:r>
      <w:r>
        <w:rPr>
          <w:sz w:val="22"/>
          <w:szCs w:val="22"/>
        </w:rPr>
        <w:t>), unless you post with AI. Then utilize the fixed string method above and don’t reverse):</w:t>
      </w:r>
    </w:p>
    <w:p w14:paraId="1E9198F2" w14:textId="77777777" w:rsidR="00DC072E" w:rsidRDefault="00DC072E" w:rsidP="00DC072E">
      <w:pPr>
        <w:pStyle w:val="Default"/>
        <w:spacing w:after="120" w:line="300" w:lineRule="exact"/>
        <w:rPr>
          <w:sz w:val="22"/>
          <w:szCs w:val="22"/>
        </w:rPr>
      </w:pPr>
      <w:r>
        <w:rPr>
          <w:sz w:val="22"/>
          <w:szCs w:val="22"/>
          <w:u w:val="single"/>
        </w:rPr>
        <w:t>Payroll (June 30)</w:t>
      </w:r>
      <w:r>
        <w:rPr>
          <w:sz w:val="22"/>
          <w:szCs w:val="22"/>
        </w:rPr>
        <w:t>:</w:t>
      </w:r>
    </w:p>
    <w:p w14:paraId="52A5506F" w14:textId="77777777" w:rsidR="00DC072E" w:rsidRDefault="00DC072E" w:rsidP="00DC072E">
      <w:pPr>
        <w:pStyle w:val="Default"/>
        <w:spacing w:after="120" w:line="300" w:lineRule="exact"/>
        <w:rPr>
          <w:sz w:val="22"/>
          <w:szCs w:val="22"/>
        </w:rPr>
      </w:pPr>
      <w:r>
        <w:rPr>
          <w:sz w:val="22"/>
          <w:szCs w:val="22"/>
        </w:rPr>
        <w:t xml:space="preserve">Create the billing prior to the submodule closing – you want to include in current year. If you miss the closing date, you will want </w:t>
      </w:r>
      <w:r w:rsidR="00886CB3">
        <w:rPr>
          <w:sz w:val="22"/>
          <w:szCs w:val="22"/>
        </w:rPr>
        <w:t>to accrue into current year.</w:t>
      </w:r>
    </w:p>
    <w:p w14:paraId="2B0B87F8" w14:textId="77777777" w:rsidR="00886CB3" w:rsidRDefault="00886CB3" w:rsidP="00DC072E">
      <w:pPr>
        <w:pStyle w:val="Default"/>
        <w:spacing w:after="120" w:line="300" w:lineRule="exact"/>
        <w:rPr>
          <w:sz w:val="22"/>
          <w:szCs w:val="22"/>
        </w:rPr>
      </w:pPr>
    </w:p>
    <w:p w14:paraId="746C002B" w14:textId="77777777" w:rsidR="00886CB3" w:rsidRDefault="00886CB3" w:rsidP="00886CB3">
      <w:pPr>
        <w:pStyle w:val="Default"/>
        <w:spacing w:after="120" w:line="300" w:lineRule="exact"/>
        <w:rPr>
          <w:sz w:val="22"/>
          <w:szCs w:val="22"/>
        </w:rPr>
      </w:pPr>
      <w:r>
        <w:rPr>
          <w:sz w:val="22"/>
          <w:szCs w:val="22"/>
          <w:u w:val="single"/>
        </w:rPr>
        <w:t>Non-payroll VPA</w:t>
      </w:r>
      <w:r>
        <w:rPr>
          <w:sz w:val="22"/>
          <w:szCs w:val="22"/>
        </w:rPr>
        <w:t>:</w:t>
      </w:r>
    </w:p>
    <w:p w14:paraId="6E4F71F9" w14:textId="77777777" w:rsidR="00DC072E" w:rsidRDefault="00886CB3" w:rsidP="00DC072E">
      <w:pPr>
        <w:pStyle w:val="Default"/>
        <w:spacing w:after="120" w:line="300" w:lineRule="exact"/>
        <w:rPr>
          <w:sz w:val="22"/>
          <w:szCs w:val="22"/>
        </w:rPr>
      </w:pPr>
      <w:r>
        <w:rPr>
          <w:sz w:val="22"/>
          <w:szCs w:val="22"/>
        </w:rPr>
        <w:t>Follow VPA processing instructions for periods 12, 13, 131, and 132 (if applicable). Each of these should be accrued in current year.</w:t>
      </w:r>
    </w:p>
    <w:p w14:paraId="78D43D23" w14:textId="77777777" w:rsidR="00886CB3" w:rsidRDefault="00886CB3" w:rsidP="00DC072E">
      <w:pPr>
        <w:pStyle w:val="Default"/>
        <w:spacing w:after="120" w:line="300" w:lineRule="exact"/>
        <w:rPr>
          <w:sz w:val="22"/>
          <w:szCs w:val="22"/>
        </w:rPr>
      </w:pPr>
    </w:p>
    <w:p w14:paraId="013A6646" w14:textId="77777777" w:rsidR="00886CB3" w:rsidRDefault="00800D72" w:rsidP="00DC072E">
      <w:pPr>
        <w:pStyle w:val="Default"/>
        <w:spacing w:after="120" w:line="300" w:lineRule="exact"/>
        <w:rPr>
          <w:sz w:val="22"/>
          <w:szCs w:val="22"/>
        </w:rPr>
      </w:pPr>
      <w:r w:rsidRPr="00BB6119">
        <w:rPr>
          <w:b/>
          <w:bCs/>
          <w:sz w:val="22"/>
          <w:szCs w:val="22"/>
        </w:rPr>
        <w:t>Warning:</w:t>
      </w:r>
      <w:r>
        <w:rPr>
          <w:sz w:val="22"/>
          <w:szCs w:val="22"/>
        </w:rPr>
        <w:t xml:space="preserve"> </w:t>
      </w:r>
      <w:r w:rsidR="00886CB3">
        <w:rPr>
          <w:sz w:val="22"/>
          <w:szCs w:val="22"/>
        </w:rPr>
        <w:t xml:space="preserve">Not accruing or entering VPA in </w:t>
      </w:r>
      <w:r>
        <w:rPr>
          <w:sz w:val="22"/>
          <w:szCs w:val="22"/>
        </w:rPr>
        <w:t>June will cause issues with re-allocation in periods 132 and 133, which might leave fund balance in a state fund.</w:t>
      </w:r>
    </w:p>
    <w:p w14:paraId="387236F7" w14:textId="77777777" w:rsidR="00CF0509" w:rsidRDefault="00CF0509" w:rsidP="000F5CF6">
      <w:pPr>
        <w:pStyle w:val="Default"/>
        <w:spacing w:after="120" w:line="300" w:lineRule="exact"/>
        <w:rPr>
          <w:b/>
          <w:bCs/>
          <w:sz w:val="29"/>
          <w:szCs w:val="29"/>
        </w:rPr>
      </w:pPr>
    </w:p>
    <w:p w14:paraId="10B369AA" w14:textId="77777777" w:rsidR="00886CB3" w:rsidRDefault="00886CB3" w:rsidP="000F5CF6">
      <w:pPr>
        <w:pStyle w:val="Default"/>
        <w:spacing w:after="120" w:line="300" w:lineRule="exact"/>
        <w:rPr>
          <w:b/>
          <w:bCs/>
          <w:sz w:val="29"/>
          <w:szCs w:val="29"/>
        </w:rPr>
      </w:pPr>
    </w:p>
    <w:p w14:paraId="4DE96C15" w14:textId="77777777" w:rsidR="00C45D30" w:rsidRDefault="00C45D30" w:rsidP="00C45D30"/>
    <w:p w14:paraId="0EE44CDB" w14:textId="77777777" w:rsidR="00C45D30" w:rsidRDefault="00C45D30" w:rsidP="00CA5139"/>
    <w:p w14:paraId="67651E43" w14:textId="77777777" w:rsidR="00DC072E" w:rsidRDefault="00DC072E" w:rsidP="00CA5139"/>
    <w:sectPr w:rsidR="00DC072E" w:rsidSect="00CF2A97">
      <w:headerReference w:type="even"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D1B4AB" w14:textId="77777777" w:rsidR="005064D3" w:rsidRDefault="005064D3" w:rsidP="00400DC5">
      <w:pPr>
        <w:spacing w:before="0" w:after="0" w:line="240" w:lineRule="auto"/>
      </w:pPr>
      <w:r>
        <w:separator/>
      </w:r>
    </w:p>
  </w:endnote>
  <w:endnote w:type="continuationSeparator" w:id="0">
    <w:p w14:paraId="2E9781ED" w14:textId="77777777" w:rsidR="005064D3" w:rsidRDefault="005064D3" w:rsidP="00400DC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ourceSansPro-Bold">
    <w:altName w:val="Calibri"/>
    <w:charset w:val="00"/>
    <w:family w:val="auto"/>
    <w:pitch w:val="variable"/>
    <w:sig w:usb0="20000007" w:usb1="00000001" w:usb2="00000000" w:usb3="00000000" w:csb0="00000193" w:csb1="00000000"/>
  </w:font>
  <w:font w:name="SourceSansPro-Light">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SourceSansPro-Semibold">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4041E" w14:textId="77777777" w:rsidR="00400DC5" w:rsidRDefault="00F65341" w:rsidP="00400DC5">
    <w:pPr>
      <w:pStyle w:val="Footer"/>
      <w:tabs>
        <w:tab w:val="clear" w:pos="4680"/>
        <w:tab w:val="clear" w:pos="9360"/>
        <w:tab w:val="left" w:pos="3150"/>
      </w:tabs>
      <w:ind w:left="-360"/>
    </w:pPr>
    <w:r>
      <w:rPr>
        <w:noProof/>
      </w:rPr>
      <w:drawing>
        <wp:inline distT="0" distB="0" distL="0" distR="0" wp14:anchorId="2E8EEE18" wp14:editId="3C50E94F">
          <wp:extent cx="5943600" cy="339634"/>
          <wp:effectExtent l="0" t="0" r="0" b="3810"/>
          <wp:docPr id="1" name="Picture 1" descr="SBCTC footer" title="SBCTC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tterhead footer.png"/>
                  <pic:cNvPicPr/>
                </pic:nvPicPr>
                <pic:blipFill>
                  <a:blip r:embed="rId1">
                    <a:extLst>
                      <a:ext uri="{28A0092B-C50C-407E-A947-70E740481C1C}">
                        <a14:useLocalDpi xmlns:a14="http://schemas.microsoft.com/office/drawing/2010/main" val="0"/>
                      </a:ext>
                    </a:extLst>
                  </a:blip>
                  <a:stretch>
                    <a:fillRect/>
                  </a:stretch>
                </pic:blipFill>
                <pic:spPr>
                  <a:xfrm>
                    <a:off x="0" y="0"/>
                    <a:ext cx="5943600" cy="339634"/>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BBC5B" w14:textId="77777777" w:rsidR="00B65566" w:rsidRDefault="005F4A83" w:rsidP="00B65566">
    <w:pPr>
      <w:pStyle w:val="Footer"/>
      <w:ind w:left="-450"/>
    </w:pPr>
    <w:r>
      <w:rPr>
        <w:noProof/>
      </w:rPr>
      <w:drawing>
        <wp:inline distT="0" distB="0" distL="0" distR="0" wp14:anchorId="6F9C1E22" wp14:editId="533CE274">
          <wp:extent cx="6400800" cy="365858"/>
          <wp:effectExtent l="0" t="0" r="0" b="0"/>
          <wp:docPr id="18" name="Picture 18" descr="SBCTC footer" title="SBCTC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tterhead footer.png"/>
                  <pic:cNvPicPr/>
                </pic:nvPicPr>
                <pic:blipFill>
                  <a:blip r:embed="rId1">
                    <a:extLst>
                      <a:ext uri="{28A0092B-C50C-407E-A947-70E740481C1C}">
                        <a14:useLocalDpi xmlns:a14="http://schemas.microsoft.com/office/drawing/2010/main" val="0"/>
                      </a:ext>
                    </a:extLst>
                  </a:blip>
                  <a:stretch>
                    <a:fillRect/>
                  </a:stretch>
                </pic:blipFill>
                <pic:spPr>
                  <a:xfrm>
                    <a:off x="0" y="0"/>
                    <a:ext cx="6400800" cy="36585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F22A09" w14:textId="77777777" w:rsidR="005064D3" w:rsidRDefault="005064D3" w:rsidP="00400DC5">
      <w:pPr>
        <w:spacing w:before="0" w:after="0" w:line="240" w:lineRule="auto"/>
      </w:pPr>
      <w:r>
        <w:separator/>
      </w:r>
    </w:p>
  </w:footnote>
  <w:footnote w:type="continuationSeparator" w:id="0">
    <w:p w14:paraId="71912694" w14:textId="77777777" w:rsidR="005064D3" w:rsidRDefault="005064D3" w:rsidP="00400DC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E205A" w14:textId="77777777" w:rsidR="00400DC5" w:rsidRDefault="00620C72">
    <w:pPr>
      <w:pStyle w:val="Header"/>
    </w:pPr>
    <w:r>
      <w:rPr>
        <w:noProof/>
      </w:rPr>
      <w:pict w14:anchorId="2F997E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931063" o:spid="_x0000_s2056" type="#_x0000_t75" style="position:absolute;margin-left:0;margin-top:0;width:467.7pt;height:434.5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D86067" w14:textId="77777777" w:rsidR="00400DC5" w:rsidRDefault="005F4A83" w:rsidP="00D01767">
    <w:pPr>
      <w:pStyle w:val="BodyCopy"/>
    </w:pPr>
    <w:r>
      <w:rPr>
        <w:noProof/>
      </w:rPr>
      <w:drawing>
        <wp:inline distT="0" distB="0" distL="0" distR="0" wp14:anchorId="07134655" wp14:editId="097DDB10">
          <wp:extent cx="2779776" cy="992777"/>
          <wp:effectExtent l="0" t="0" r="1905" b="0"/>
          <wp:docPr id="17" name="Picture 17" descr="SBCTC logo" title="SBCT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BCTC color logo.png"/>
                  <pic:cNvPicPr/>
                </pic:nvPicPr>
                <pic:blipFill>
                  <a:blip r:embed="rId1">
                    <a:extLst>
                      <a:ext uri="{28A0092B-C50C-407E-A947-70E740481C1C}">
                        <a14:useLocalDpi xmlns:a14="http://schemas.microsoft.com/office/drawing/2010/main" val="0"/>
                      </a:ext>
                    </a:extLst>
                  </a:blip>
                  <a:stretch>
                    <a:fillRect/>
                  </a:stretch>
                </pic:blipFill>
                <pic:spPr>
                  <a:xfrm>
                    <a:off x="0" y="0"/>
                    <a:ext cx="2779776" cy="992777"/>
                  </a:xfrm>
                  <a:prstGeom prst="rect">
                    <a:avLst/>
                  </a:prstGeom>
                </pic:spPr>
              </pic:pic>
            </a:graphicData>
          </a:graphic>
        </wp:inline>
      </w:drawing>
    </w:r>
  </w:p>
  <w:p w14:paraId="43F74162" w14:textId="77777777" w:rsidR="00D01767" w:rsidRDefault="00620C72" w:rsidP="00D01767">
    <w:pPr>
      <w:pStyle w:val="BodyCopy"/>
    </w:pPr>
    <w:r>
      <w:rPr>
        <w:noProof/>
      </w:rPr>
      <w:pict w14:anchorId="3C49A0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931062" o:spid="_x0000_s2055" type="#_x0000_t75" alt="Background image of logo compass" style="position:absolute;margin-left:50.4pt;margin-top:152.65pt;width:467.7pt;height:434.5pt;z-index:-251658240;mso-position-horizontal-relative:margin;mso-position-vertical-relative:margin" o:allowincell="f">
          <v:imagedata r:id="rId2" o:titl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065BBA"/>
    <w:multiLevelType w:val="hybridMultilevel"/>
    <w:tmpl w:val="5F36FEA4"/>
    <w:lvl w:ilvl="0" w:tplc="F22C3FA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8C12D2"/>
    <w:multiLevelType w:val="multilevel"/>
    <w:tmpl w:val="F14C9302"/>
    <w:lvl w:ilvl="0">
      <w:start w:val="1"/>
      <w:numFmt w:val="bullet"/>
      <w:pStyle w:val="Bullets"/>
      <w:lvlText w:val=""/>
      <w:lvlJc w:val="left"/>
      <w:pPr>
        <w:ind w:left="504" w:hanging="288"/>
      </w:pPr>
      <w:rPr>
        <w:rFonts w:ascii="Symbol" w:hAnsi="Symbol" w:hint="default"/>
      </w:rPr>
    </w:lvl>
    <w:lvl w:ilvl="1">
      <w:start w:val="1"/>
      <w:numFmt w:val="bullet"/>
      <w:lvlText w:val=""/>
      <w:lvlJc w:val="left"/>
      <w:pPr>
        <w:ind w:left="792" w:hanging="288"/>
      </w:pPr>
      <w:rPr>
        <w:rFonts w:ascii="Symbol" w:hAnsi="Symbol" w:hint="default"/>
      </w:rPr>
    </w:lvl>
    <w:lvl w:ilvl="2">
      <w:start w:val="1"/>
      <w:numFmt w:val="bullet"/>
      <w:lvlText w:val=""/>
      <w:lvlJc w:val="left"/>
      <w:pPr>
        <w:ind w:left="1080" w:hanging="288"/>
      </w:pPr>
      <w:rPr>
        <w:rFonts w:ascii="Symbol" w:hAnsi="Symbol" w:hint="default"/>
      </w:rPr>
    </w:lvl>
    <w:lvl w:ilvl="3">
      <w:start w:val="1"/>
      <w:numFmt w:val="bullet"/>
      <w:lvlText w:val=""/>
      <w:lvlJc w:val="left"/>
      <w:pPr>
        <w:ind w:left="1368" w:hanging="288"/>
      </w:pPr>
      <w:rPr>
        <w:rFonts w:ascii="Symbol" w:hAnsi="Symbol" w:hint="default"/>
      </w:rPr>
    </w:lvl>
    <w:lvl w:ilvl="4">
      <w:start w:val="1"/>
      <w:numFmt w:val="bullet"/>
      <w:lvlText w:val=""/>
      <w:lvlJc w:val="left"/>
      <w:pPr>
        <w:ind w:left="1656" w:hanging="288"/>
      </w:pPr>
      <w:rPr>
        <w:rFonts w:ascii="Symbol" w:hAnsi="Symbol" w:hint="default"/>
      </w:rPr>
    </w:lvl>
    <w:lvl w:ilvl="5">
      <w:start w:val="1"/>
      <w:numFmt w:val="bullet"/>
      <w:lvlText w:val=""/>
      <w:lvlJc w:val="left"/>
      <w:pPr>
        <w:ind w:left="1944" w:hanging="288"/>
      </w:pPr>
      <w:rPr>
        <w:rFonts w:ascii="Symbol" w:hAnsi="Symbol" w:hint="default"/>
      </w:rPr>
    </w:lvl>
    <w:lvl w:ilvl="6">
      <w:start w:val="1"/>
      <w:numFmt w:val="bullet"/>
      <w:lvlText w:val=""/>
      <w:lvlJc w:val="left"/>
      <w:pPr>
        <w:ind w:left="2232" w:hanging="288"/>
      </w:pPr>
      <w:rPr>
        <w:rFonts w:ascii="Symbol" w:hAnsi="Symbol" w:hint="default"/>
      </w:rPr>
    </w:lvl>
    <w:lvl w:ilvl="7">
      <w:start w:val="1"/>
      <w:numFmt w:val="bullet"/>
      <w:lvlText w:val=""/>
      <w:lvlJc w:val="left"/>
      <w:pPr>
        <w:ind w:left="2520" w:hanging="288"/>
      </w:pPr>
      <w:rPr>
        <w:rFonts w:ascii="Symbol" w:hAnsi="Symbol" w:hint="default"/>
      </w:rPr>
    </w:lvl>
    <w:lvl w:ilvl="8">
      <w:start w:val="1"/>
      <w:numFmt w:val="bullet"/>
      <w:lvlText w:val=""/>
      <w:lvlJc w:val="left"/>
      <w:pPr>
        <w:ind w:left="2520" w:hanging="288"/>
      </w:pPr>
      <w:rPr>
        <w:rFonts w:ascii="Symbol" w:hAnsi="Symbol" w:hint="default"/>
      </w:rPr>
    </w:lvl>
  </w:abstractNum>
  <w:abstractNum w:abstractNumId="2" w15:restartNumberingAfterBreak="0">
    <w:nsid w:val="3502247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39CB6637"/>
    <w:multiLevelType w:val="multilevel"/>
    <w:tmpl w:val="D23CDA54"/>
    <w:lvl w:ilvl="0">
      <w:start w:val="1"/>
      <w:numFmt w:val="bullet"/>
      <w:lvlText w:val=""/>
      <w:lvlJc w:val="left"/>
      <w:pPr>
        <w:ind w:left="504" w:hanging="288"/>
      </w:pPr>
      <w:rPr>
        <w:rFonts w:ascii="Symbol" w:hAnsi="Symbol" w:hint="default"/>
      </w:rPr>
    </w:lvl>
    <w:lvl w:ilvl="1">
      <w:start w:val="1"/>
      <w:numFmt w:val="bullet"/>
      <w:lvlText w:val=""/>
      <w:lvlJc w:val="left"/>
      <w:pPr>
        <w:ind w:left="792" w:hanging="288"/>
      </w:pPr>
      <w:rPr>
        <w:rFonts w:ascii="Symbol" w:hAnsi="Symbol" w:hint="default"/>
      </w:rPr>
    </w:lvl>
    <w:lvl w:ilvl="2">
      <w:start w:val="1"/>
      <w:numFmt w:val="bullet"/>
      <w:lvlText w:val=""/>
      <w:lvlJc w:val="left"/>
      <w:pPr>
        <w:ind w:left="1080" w:hanging="288"/>
      </w:pPr>
      <w:rPr>
        <w:rFonts w:ascii="Symbol" w:hAnsi="Symbol" w:hint="default"/>
      </w:rPr>
    </w:lvl>
    <w:lvl w:ilvl="3">
      <w:start w:val="1"/>
      <w:numFmt w:val="bullet"/>
      <w:lvlText w:val=""/>
      <w:lvlJc w:val="left"/>
      <w:pPr>
        <w:ind w:left="1368" w:hanging="288"/>
      </w:pPr>
      <w:rPr>
        <w:rFonts w:ascii="Symbol" w:hAnsi="Symbol" w:hint="default"/>
      </w:rPr>
    </w:lvl>
    <w:lvl w:ilvl="4">
      <w:start w:val="1"/>
      <w:numFmt w:val="bullet"/>
      <w:lvlText w:val=""/>
      <w:lvlJc w:val="left"/>
      <w:pPr>
        <w:ind w:left="1512" w:hanging="144"/>
      </w:pPr>
      <w:rPr>
        <w:rFonts w:ascii="Symbol" w:hAnsi="Symbol" w:hint="default"/>
      </w:rPr>
    </w:lvl>
    <w:lvl w:ilvl="5">
      <w:start w:val="1"/>
      <w:numFmt w:val="bullet"/>
      <w:lvlText w:val=""/>
      <w:lvlJc w:val="left"/>
      <w:pPr>
        <w:ind w:left="1800" w:hanging="288"/>
      </w:pPr>
      <w:rPr>
        <w:rFonts w:ascii="Symbol" w:hAnsi="Symbol" w:hint="default"/>
      </w:rPr>
    </w:lvl>
    <w:lvl w:ilvl="6">
      <w:start w:val="1"/>
      <w:numFmt w:val="bullet"/>
      <w:lvlText w:val=""/>
      <w:lvlJc w:val="left"/>
      <w:pPr>
        <w:ind w:left="2088" w:hanging="288"/>
      </w:pPr>
      <w:rPr>
        <w:rFonts w:ascii="Symbol" w:hAnsi="Symbol" w:hint="default"/>
      </w:rPr>
    </w:lvl>
    <w:lvl w:ilvl="7">
      <w:start w:val="1"/>
      <w:numFmt w:val="bullet"/>
      <w:lvlText w:val=""/>
      <w:lvlJc w:val="left"/>
      <w:pPr>
        <w:ind w:left="2376" w:hanging="288"/>
      </w:pPr>
      <w:rPr>
        <w:rFonts w:ascii="Symbol" w:hAnsi="Symbol" w:hint="default"/>
      </w:rPr>
    </w:lvl>
    <w:lvl w:ilvl="8">
      <w:start w:val="1"/>
      <w:numFmt w:val="bullet"/>
      <w:lvlText w:val=""/>
      <w:lvlJc w:val="left"/>
      <w:pPr>
        <w:ind w:left="2664" w:hanging="288"/>
      </w:pPr>
      <w:rPr>
        <w:rFonts w:ascii="Symbol" w:hAnsi="Symbol" w:hint="default"/>
      </w:rPr>
    </w:lvl>
  </w:abstractNum>
  <w:abstractNum w:abstractNumId="4" w15:restartNumberingAfterBreak="0">
    <w:nsid w:val="44DF4EB4"/>
    <w:multiLevelType w:val="hybridMultilevel"/>
    <w:tmpl w:val="4B2A1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C505B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73DF7D59"/>
    <w:multiLevelType w:val="hybridMultilevel"/>
    <w:tmpl w:val="2898D530"/>
    <w:lvl w:ilvl="0" w:tplc="13D680D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76390967">
    <w:abstractNumId w:val="6"/>
  </w:num>
  <w:num w:numId="2" w16cid:durableId="841431341">
    <w:abstractNumId w:val="6"/>
  </w:num>
  <w:num w:numId="3" w16cid:durableId="1852841654">
    <w:abstractNumId w:val="0"/>
  </w:num>
  <w:num w:numId="4" w16cid:durableId="594483218">
    <w:abstractNumId w:val="5"/>
  </w:num>
  <w:num w:numId="5" w16cid:durableId="427888763">
    <w:abstractNumId w:val="3"/>
  </w:num>
  <w:num w:numId="6" w16cid:durableId="1197159140">
    <w:abstractNumId w:val="1"/>
  </w:num>
  <w:num w:numId="7" w16cid:durableId="522133325">
    <w:abstractNumId w:val="2"/>
  </w:num>
  <w:num w:numId="8" w16cid:durableId="9724405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styleLockTheme/>
  <w:styleLockQFSet/>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D30"/>
    <w:rsid w:val="00057335"/>
    <w:rsid w:val="00075894"/>
    <w:rsid w:val="000B5EB7"/>
    <w:rsid w:val="000D2640"/>
    <w:rsid w:val="000E75BF"/>
    <w:rsid w:val="000F5CF6"/>
    <w:rsid w:val="001D35A0"/>
    <w:rsid w:val="00236478"/>
    <w:rsid w:val="0024560F"/>
    <w:rsid w:val="00257A99"/>
    <w:rsid w:val="00287B6C"/>
    <w:rsid w:val="002A7F3E"/>
    <w:rsid w:val="002F077C"/>
    <w:rsid w:val="002F4A54"/>
    <w:rsid w:val="00305FE9"/>
    <w:rsid w:val="00350B2A"/>
    <w:rsid w:val="0036196F"/>
    <w:rsid w:val="003D7147"/>
    <w:rsid w:val="003E58C6"/>
    <w:rsid w:val="00400DC5"/>
    <w:rsid w:val="00411A10"/>
    <w:rsid w:val="00433879"/>
    <w:rsid w:val="005002E1"/>
    <w:rsid w:val="005064D3"/>
    <w:rsid w:val="005613D1"/>
    <w:rsid w:val="005E07A5"/>
    <w:rsid w:val="005F4A83"/>
    <w:rsid w:val="00620C72"/>
    <w:rsid w:val="00634221"/>
    <w:rsid w:val="00635EA4"/>
    <w:rsid w:val="00727973"/>
    <w:rsid w:val="00771F5F"/>
    <w:rsid w:val="00800D72"/>
    <w:rsid w:val="00816CC5"/>
    <w:rsid w:val="0084248F"/>
    <w:rsid w:val="00845C0E"/>
    <w:rsid w:val="00886CB3"/>
    <w:rsid w:val="008B5075"/>
    <w:rsid w:val="008D5DD0"/>
    <w:rsid w:val="0093629A"/>
    <w:rsid w:val="00965531"/>
    <w:rsid w:val="009767D5"/>
    <w:rsid w:val="00A34E90"/>
    <w:rsid w:val="00AA0B1F"/>
    <w:rsid w:val="00B02553"/>
    <w:rsid w:val="00B42899"/>
    <w:rsid w:val="00B644F8"/>
    <w:rsid w:val="00B65566"/>
    <w:rsid w:val="00BB6119"/>
    <w:rsid w:val="00BC533E"/>
    <w:rsid w:val="00C32A04"/>
    <w:rsid w:val="00C45D30"/>
    <w:rsid w:val="00C90C8B"/>
    <w:rsid w:val="00CA4145"/>
    <w:rsid w:val="00CA5139"/>
    <w:rsid w:val="00CF0509"/>
    <w:rsid w:val="00CF2A97"/>
    <w:rsid w:val="00D01767"/>
    <w:rsid w:val="00D2156F"/>
    <w:rsid w:val="00D31BC8"/>
    <w:rsid w:val="00DC072E"/>
    <w:rsid w:val="00DD41E2"/>
    <w:rsid w:val="00DE0EF4"/>
    <w:rsid w:val="00DE734D"/>
    <w:rsid w:val="00E01D47"/>
    <w:rsid w:val="00E0385D"/>
    <w:rsid w:val="00E06E82"/>
    <w:rsid w:val="00E25982"/>
    <w:rsid w:val="00E47690"/>
    <w:rsid w:val="00E824B7"/>
    <w:rsid w:val="00E94E88"/>
    <w:rsid w:val="00F40FCB"/>
    <w:rsid w:val="00F51094"/>
    <w:rsid w:val="00F65341"/>
    <w:rsid w:val="00FC7E04"/>
    <w:rsid w:val="00FE69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6174235E"/>
  <w15:chartTrackingRefBased/>
  <w15:docId w15:val="{D9450C16-7438-4D5C-A00C-A7842A37B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en-US" w:bidi="ar-SA"/>
      </w:rPr>
    </w:rPrDefault>
    <w:pPrDefault>
      <w:pPr>
        <w:spacing w:before="60" w:after="120" w:line="240" w:lineRule="atLeast"/>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47690"/>
    <w:rPr>
      <w:rFonts w:ascii="Franklin Gothic Book" w:hAnsi="Franklin Gothic Book"/>
    </w:rPr>
  </w:style>
  <w:style w:type="paragraph" w:styleId="Heading1">
    <w:name w:val="heading 1"/>
    <w:basedOn w:val="Normal"/>
    <w:next w:val="Normal"/>
    <w:link w:val="Heading1Char"/>
    <w:uiPriority w:val="9"/>
    <w:qFormat/>
    <w:rsid w:val="00257A99"/>
    <w:pPr>
      <w:widowControl w:val="0"/>
      <w:suppressAutoHyphens/>
      <w:autoSpaceDE w:val="0"/>
      <w:autoSpaceDN w:val="0"/>
      <w:adjustRightInd w:val="0"/>
      <w:spacing w:after="240" w:line="240" w:lineRule="auto"/>
      <w:textAlignment w:val="center"/>
      <w:outlineLvl w:val="0"/>
    </w:pPr>
    <w:rPr>
      <w:rFonts w:ascii="Franklin Gothic Medium" w:hAnsi="Franklin Gothic Medium" w:cs="SourceSansPro-Bold"/>
      <w:b/>
      <w:bCs/>
      <w:caps/>
      <w:color w:val="173963"/>
      <w:sz w:val="40"/>
      <w:szCs w:val="40"/>
    </w:rPr>
  </w:style>
  <w:style w:type="paragraph" w:styleId="Heading2">
    <w:name w:val="heading 2"/>
    <w:basedOn w:val="Normal"/>
    <w:next w:val="Normal"/>
    <w:link w:val="Heading2Char"/>
    <w:uiPriority w:val="9"/>
    <w:qFormat/>
    <w:rsid w:val="00257A99"/>
    <w:pPr>
      <w:widowControl w:val="0"/>
      <w:suppressAutoHyphens/>
      <w:autoSpaceDE w:val="0"/>
      <w:autoSpaceDN w:val="0"/>
      <w:adjustRightInd w:val="0"/>
      <w:spacing w:before="180" w:after="0" w:line="320" w:lineRule="atLeast"/>
      <w:textAlignment w:val="center"/>
      <w:outlineLvl w:val="1"/>
    </w:pPr>
    <w:rPr>
      <w:rFonts w:ascii="Franklin Gothic Medium" w:hAnsi="Franklin Gothic Medium" w:cs="SourceSansPro-Light"/>
      <w:color w:val="0071CE"/>
      <w:sz w:val="28"/>
      <w:szCs w:val="21"/>
    </w:rPr>
  </w:style>
  <w:style w:type="paragraph" w:styleId="Heading3">
    <w:name w:val="heading 3"/>
    <w:basedOn w:val="Heading2"/>
    <w:next w:val="Normal"/>
    <w:link w:val="Heading3Char"/>
    <w:uiPriority w:val="9"/>
    <w:qFormat/>
    <w:rsid w:val="00257A99"/>
    <w:pPr>
      <w:outlineLvl w:val="2"/>
    </w:pPr>
    <w:rPr>
      <w:sz w:val="24"/>
    </w:rPr>
  </w:style>
  <w:style w:type="paragraph" w:styleId="Heading4">
    <w:name w:val="heading 4"/>
    <w:aliases w:val="Date and Brief No"/>
    <w:basedOn w:val="Date-Rightaligned"/>
    <w:next w:val="Normal"/>
    <w:link w:val="Heading4Char"/>
    <w:uiPriority w:val="9"/>
    <w:rsid w:val="00257A99"/>
    <w:pPr>
      <w:ind w:left="6930"/>
      <w:jc w:val="left"/>
      <w:outlineLvl w:val="3"/>
    </w:pPr>
    <w:rPr>
      <w:b/>
    </w:rPr>
  </w:style>
  <w:style w:type="paragraph" w:styleId="Heading5">
    <w:name w:val="heading 5"/>
    <w:basedOn w:val="Normal"/>
    <w:next w:val="Normal"/>
    <w:link w:val="Heading5Char"/>
    <w:uiPriority w:val="99"/>
    <w:semiHidden/>
    <w:rsid w:val="00634221"/>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9"/>
    <w:semiHidden/>
    <w:rsid w:val="00634221"/>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rsid w:val="00634221"/>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rsid w:val="00634221"/>
    <w:pPr>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rsid w:val="00634221"/>
    <w:pPr>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semiHidden/>
    <w:rsid w:val="00257A99"/>
    <w:pPr>
      <w:autoSpaceDE w:val="0"/>
      <w:autoSpaceDN w:val="0"/>
      <w:adjustRightInd w:val="0"/>
      <w:spacing w:after="0" w:line="280" w:lineRule="atLeast"/>
      <w:textAlignment w:val="center"/>
    </w:pPr>
    <w:rPr>
      <w:rFonts w:cs="Franklin Gothic Book"/>
      <w:color w:val="000000"/>
    </w:rPr>
  </w:style>
  <w:style w:type="paragraph" w:customStyle="1" w:styleId="NoParagraphStyle">
    <w:name w:val="[No Paragraph Style]"/>
    <w:rsid w:val="00257A99"/>
    <w:pPr>
      <w:widowControl w:val="0"/>
      <w:autoSpaceDE w:val="0"/>
      <w:autoSpaceDN w:val="0"/>
      <w:adjustRightInd w:val="0"/>
      <w:textAlignment w:val="center"/>
    </w:pPr>
    <w:rPr>
      <w:rFonts w:ascii="Franklin Gothic Book" w:hAnsi="Franklin Gothic Book" w:cs="MinionPro-Regular"/>
      <w:color w:val="000000"/>
      <w:szCs w:val="24"/>
    </w:rPr>
  </w:style>
  <w:style w:type="character" w:customStyle="1" w:styleId="Heading2Char">
    <w:name w:val="Heading 2 Char"/>
    <w:basedOn w:val="DefaultParagraphFont"/>
    <w:link w:val="Heading2"/>
    <w:uiPriority w:val="9"/>
    <w:rsid w:val="00257A99"/>
    <w:rPr>
      <w:rFonts w:ascii="Franklin Gothic Medium" w:hAnsi="Franklin Gothic Medium" w:cs="SourceSansPro-Light"/>
      <w:color w:val="0071CE"/>
      <w:sz w:val="28"/>
      <w:szCs w:val="21"/>
    </w:rPr>
  </w:style>
  <w:style w:type="paragraph" w:customStyle="1" w:styleId="BodyCopy">
    <w:name w:val="Body Copy"/>
    <w:basedOn w:val="Normal"/>
    <w:link w:val="BodyCopyChar"/>
    <w:qFormat/>
    <w:rsid w:val="00727973"/>
    <w:pPr>
      <w:widowControl w:val="0"/>
      <w:suppressAutoHyphens/>
      <w:autoSpaceDE w:val="0"/>
      <w:autoSpaceDN w:val="0"/>
      <w:adjustRightInd w:val="0"/>
      <w:spacing w:line="280" w:lineRule="atLeast"/>
      <w:textAlignment w:val="center"/>
    </w:pPr>
    <w:rPr>
      <w:rFonts w:cs="SourceSansPro-Light"/>
      <w:color w:val="000000"/>
      <w:szCs w:val="21"/>
    </w:rPr>
  </w:style>
  <w:style w:type="character" w:customStyle="1" w:styleId="BodyCopyChar">
    <w:name w:val="Body Copy Char"/>
    <w:basedOn w:val="DefaultParagraphFont"/>
    <w:link w:val="BodyCopy"/>
    <w:rsid w:val="00727973"/>
    <w:rPr>
      <w:rFonts w:ascii="Franklin Gothic Book" w:hAnsi="Franklin Gothic Book" w:cs="SourceSansPro-Light"/>
      <w:color w:val="000000"/>
      <w:szCs w:val="21"/>
    </w:rPr>
  </w:style>
  <w:style w:type="paragraph" w:customStyle="1" w:styleId="Bullets">
    <w:name w:val="Bullets"/>
    <w:basedOn w:val="Normal"/>
    <w:link w:val="BulletsChar"/>
    <w:qFormat/>
    <w:rsid w:val="00727973"/>
    <w:pPr>
      <w:widowControl w:val="0"/>
      <w:numPr>
        <w:numId w:val="6"/>
      </w:numPr>
      <w:suppressAutoHyphens/>
      <w:autoSpaceDE w:val="0"/>
      <w:autoSpaceDN w:val="0"/>
      <w:adjustRightInd w:val="0"/>
      <w:spacing w:line="280" w:lineRule="atLeast"/>
      <w:textAlignment w:val="center"/>
    </w:pPr>
    <w:rPr>
      <w:rFonts w:cs="SourceSansPro-Light"/>
      <w:color w:val="000000"/>
      <w:szCs w:val="21"/>
    </w:rPr>
  </w:style>
  <w:style w:type="character" w:customStyle="1" w:styleId="BulletsChar">
    <w:name w:val="Bullets Char"/>
    <w:basedOn w:val="DefaultParagraphFont"/>
    <w:link w:val="Bullets"/>
    <w:rsid w:val="00727973"/>
    <w:rPr>
      <w:rFonts w:ascii="Franklin Gothic Book" w:hAnsi="Franklin Gothic Book" w:cs="SourceSansPro-Light"/>
      <w:color w:val="000000"/>
      <w:szCs w:val="21"/>
    </w:rPr>
  </w:style>
  <w:style w:type="paragraph" w:customStyle="1" w:styleId="ContactBody">
    <w:name w:val="Contact Body"/>
    <w:basedOn w:val="BasicParagraph"/>
    <w:link w:val="ContactBodyChar"/>
    <w:qFormat/>
    <w:rsid w:val="00257A99"/>
    <w:pPr>
      <w:suppressAutoHyphens/>
      <w:spacing w:line="240" w:lineRule="auto"/>
    </w:pPr>
    <w:rPr>
      <w:rFonts w:cs="Franklin Gothic Demi"/>
      <w:spacing w:val="-3"/>
      <w:sz w:val="16"/>
      <w:szCs w:val="16"/>
    </w:rPr>
  </w:style>
  <w:style w:type="character" w:customStyle="1" w:styleId="ContactBodyChar">
    <w:name w:val="Contact Body Char"/>
    <w:basedOn w:val="DefaultParagraphFont"/>
    <w:link w:val="ContactBody"/>
    <w:rsid w:val="00257A99"/>
    <w:rPr>
      <w:rFonts w:ascii="Franklin Gothic Book" w:hAnsi="Franklin Gothic Book" w:cs="Franklin Gothic Demi"/>
      <w:color w:val="000000"/>
      <w:spacing w:val="-3"/>
      <w:sz w:val="16"/>
      <w:szCs w:val="16"/>
    </w:rPr>
  </w:style>
  <w:style w:type="paragraph" w:customStyle="1" w:styleId="Contactcopy-9ptbottomright">
    <w:name w:val="Contact copy - 9pt (bottom right)"/>
    <w:basedOn w:val="NoParagraphStyle"/>
    <w:link w:val="Contactcopy-9ptbottomrightChar"/>
    <w:uiPriority w:val="99"/>
    <w:semiHidden/>
    <w:rsid w:val="00257A99"/>
    <w:pPr>
      <w:spacing w:after="90" w:line="140" w:lineRule="atLeast"/>
    </w:pPr>
    <w:rPr>
      <w:rFonts w:cs="SourceSansPro-Semibold"/>
      <w:spacing w:val="-4"/>
      <w:sz w:val="18"/>
      <w:szCs w:val="18"/>
    </w:rPr>
  </w:style>
  <w:style w:type="character" w:customStyle="1" w:styleId="Contactcopy-9ptbottomrightChar">
    <w:name w:val="Contact copy - 9pt (bottom right) Char"/>
    <w:basedOn w:val="DefaultParagraphFont"/>
    <w:link w:val="Contactcopy-9ptbottomright"/>
    <w:uiPriority w:val="99"/>
    <w:semiHidden/>
    <w:rsid w:val="00E01D47"/>
    <w:rPr>
      <w:rFonts w:ascii="Franklin Gothic Book" w:hAnsi="Franklin Gothic Book" w:cs="SourceSansPro-Semibold"/>
      <w:color w:val="000000"/>
      <w:spacing w:val="-4"/>
      <w:sz w:val="18"/>
      <w:szCs w:val="18"/>
    </w:rPr>
  </w:style>
  <w:style w:type="paragraph" w:customStyle="1" w:styleId="ContactHeader">
    <w:name w:val="Contact Header"/>
    <w:basedOn w:val="Heading2"/>
    <w:link w:val="ContactHeaderChar"/>
    <w:qFormat/>
    <w:rsid w:val="00E01D47"/>
    <w:rPr>
      <w:bCs/>
      <w:sz w:val="20"/>
    </w:rPr>
  </w:style>
  <w:style w:type="character" w:customStyle="1" w:styleId="ContactHeaderChar">
    <w:name w:val="Contact Header Char"/>
    <w:basedOn w:val="DefaultParagraphFont"/>
    <w:link w:val="ContactHeader"/>
    <w:rsid w:val="00E01D47"/>
    <w:rPr>
      <w:rFonts w:ascii="Franklin Gothic Medium" w:hAnsi="Franklin Gothic Medium" w:cs="SourceSansPro-Light"/>
      <w:bCs/>
      <w:color w:val="0071CE"/>
      <w:szCs w:val="21"/>
    </w:rPr>
  </w:style>
  <w:style w:type="character" w:customStyle="1" w:styleId="Heading1Char">
    <w:name w:val="Heading 1 Char"/>
    <w:basedOn w:val="DefaultParagraphFont"/>
    <w:link w:val="Heading1"/>
    <w:uiPriority w:val="9"/>
    <w:rsid w:val="00257A99"/>
    <w:rPr>
      <w:rFonts w:ascii="Franklin Gothic Medium" w:hAnsi="Franklin Gothic Medium" w:cs="SourceSansPro-Bold"/>
      <w:b/>
      <w:bCs/>
      <w:caps/>
      <w:color w:val="173963"/>
      <w:sz w:val="40"/>
      <w:szCs w:val="40"/>
    </w:rPr>
  </w:style>
  <w:style w:type="character" w:customStyle="1" w:styleId="Contactname-BOLD">
    <w:name w:val="Contact name - BOLD"/>
    <w:uiPriority w:val="99"/>
    <w:semiHidden/>
    <w:rsid w:val="00257A99"/>
    <w:rPr>
      <w:rFonts w:ascii="Franklin Gothic Medium" w:hAnsi="Franklin Gothic Medium"/>
    </w:rPr>
  </w:style>
  <w:style w:type="paragraph" w:customStyle="1" w:styleId="Date-Rightaligned">
    <w:name w:val="Date - Right aligned"/>
    <w:basedOn w:val="Normal"/>
    <w:uiPriority w:val="99"/>
    <w:semiHidden/>
    <w:qFormat/>
    <w:rsid w:val="00257A99"/>
    <w:pPr>
      <w:widowControl w:val="0"/>
      <w:autoSpaceDE w:val="0"/>
      <w:autoSpaceDN w:val="0"/>
      <w:adjustRightInd w:val="0"/>
      <w:spacing w:after="0" w:line="288" w:lineRule="auto"/>
      <w:jc w:val="right"/>
      <w:textAlignment w:val="center"/>
    </w:pPr>
    <w:rPr>
      <w:rFonts w:ascii="Franklin Gothic Medium" w:hAnsi="Franklin Gothic Medium" w:cs="SourceSansPro-Bold"/>
      <w:bCs/>
      <w:color w:val="6D6E71"/>
      <w:sz w:val="18"/>
      <w:szCs w:val="18"/>
    </w:rPr>
  </w:style>
  <w:style w:type="character" w:customStyle="1" w:styleId="Heading3Char">
    <w:name w:val="Heading 3 Char"/>
    <w:basedOn w:val="DefaultParagraphFont"/>
    <w:link w:val="Heading3"/>
    <w:uiPriority w:val="9"/>
    <w:rsid w:val="00257A99"/>
    <w:rPr>
      <w:rFonts w:ascii="Franklin Gothic Medium" w:hAnsi="Franklin Gothic Medium" w:cs="SourceSansPro-Light"/>
      <w:color w:val="0071CE"/>
      <w:sz w:val="24"/>
      <w:szCs w:val="21"/>
    </w:rPr>
  </w:style>
  <w:style w:type="character" w:customStyle="1" w:styleId="Heading4Char">
    <w:name w:val="Heading 4 Char"/>
    <w:aliases w:val="Date and Brief No Char"/>
    <w:basedOn w:val="DefaultParagraphFont"/>
    <w:link w:val="Heading4"/>
    <w:uiPriority w:val="9"/>
    <w:rsid w:val="00257A99"/>
    <w:rPr>
      <w:rFonts w:ascii="Franklin Gothic Medium" w:hAnsi="Franklin Gothic Medium" w:cs="SourceSansPro-Bold"/>
      <w:b/>
      <w:bCs/>
      <w:color w:val="6D6E71"/>
      <w:sz w:val="18"/>
      <w:szCs w:val="18"/>
    </w:rPr>
  </w:style>
  <w:style w:type="character" w:customStyle="1" w:styleId="Heading5Char">
    <w:name w:val="Heading 5 Char"/>
    <w:basedOn w:val="DefaultParagraphFont"/>
    <w:link w:val="Heading5"/>
    <w:uiPriority w:val="99"/>
    <w:semiHidden/>
    <w:rsid w:val="00E01D4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9"/>
    <w:semiHidden/>
    <w:rsid w:val="00E01D4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E01D4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3422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34221"/>
    <w:rPr>
      <w:rFonts w:asciiTheme="majorHAnsi" w:eastAsiaTheme="majorEastAsia" w:hAnsiTheme="majorHAnsi" w:cstheme="majorBidi"/>
      <w:i/>
      <w:iCs/>
      <w:spacing w:val="5"/>
      <w:sz w:val="20"/>
      <w:szCs w:val="20"/>
    </w:rPr>
  </w:style>
  <w:style w:type="paragraph" w:customStyle="1" w:styleId="Date-RightAligned0">
    <w:name w:val="Date-Right Aligned"/>
    <w:basedOn w:val="Normal"/>
    <w:qFormat/>
    <w:rsid w:val="009767D5"/>
    <w:pPr>
      <w:spacing w:after="0" w:line="288" w:lineRule="auto"/>
      <w:jc w:val="right"/>
    </w:pPr>
    <w:rPr>
      <w:color w:val="6D6E71"/>
      <w:sz w:val="18"/>
    </w:rPr>
  </w:style>
  <w:style w:type="paragraph" w:customStyle="1" w:styleId="FeaturedQuote">
    <w:name w:val="Featured Quote"/>
    <w:basedOn w:val="BodyCopy"/>
    <w:next w:val="BodyCopy"/>
    <w:qFormat/>
    <w:rsid w:val="001D35A0"/>
    <w:pPr>
      <w:ind w:left="1440" w:right="1440"/>
      <w:jc w:val="center"/>
    </w:pPr>
    <w:rPr>
      <w:i/>
      <w:color w:val="003764"/>
    </w:rPr>
  </w:style>
  <w:style w:type="paragraph" w:styleId="Footer">
    <w:name w:val="footer"/>
    <w:basedOn w:val="Normal"/>
    <w:link w:val="FooterChar"/>
    <w:uiPriority w:val="99"/>
    <w:semiHidden/>
    <w:rsid w:val="00257A99"/>
    <w:pPr>
      <w:tabs>
        <w:tab w:val="center" w:pos="4680"/>
        <w:tab w:val="right" w:pos="9360"/>
      </w:tabs>
      <w:spacing w:after="0" w:line="240" w:lineRule="auto"/>
    </w:pPr>
    <w:rPr>
      <w:szCs w:val="22"/>
    </w:rPr>
  </w:style>
  <w:style w:type="character" w:customStyle="1" w:styleId="FooterChar">
    <w:name w:val="Footer Char"/>
    <w:basedOn w:val="DefaultParagraphFont"/>
    <w:link w:val="Footer"/>
    <w:uiPriority w:val="99"/>
    <w:semiHidden/>
    <w:rsid w:val="00E01D47"/>
    <w:rPr>
      <w:rFonts w:ascii="Franklin Gothic Book" w:hAnsi="Franklin Gothic Book"/>
      <w:szCs w:val="22"/>
    </w:rPr>
  </w:style>
  <w:style w:type="paragraph" w:styleId="Header">
    <w:name w:val="header"/>
    <w:basedOn w:val="Normal"/>
    <w:link w:val="HeaderChar"/>
    <w:uiPriority w:val="99"/>
    <w:semiHidden/>
    <w:rsid w:val="00257A99"/>
    <w:pPr>
      <w:tabs>
        <w:tab w:val="center" w:pos="4680"/>
        <w:tab w:val="right" w:pos="9360"/>
      </w:tabs>
      <w:spacing w:after="0" w:line="240" w:lineRule="auto"/>
    </w:pPr>
    <w:rPr>
      <w:szCs w:val="22"/>
    </w:rPr>
  </w:style>
  <w:style w:type="character" w:customStyle="1" w:styleId="HeaderChar">
    <w:name w:val="Header Char"/>
    <w:basedOn w:val="DefaultParagraphFont"/>
    <w:link w:val="Header"/>
    <w:uiPriority w:val="99"/>
    <w:semiHidden/>
    <w:rsid w:val="00E01D47"/>
    <w:rPr>
      <w:rFonts w:ascii="Franklin Gothic Book" w:hAnsi="Franklin Gothic Book"/>
      <w:szCs w:val="22"/>
    </w:rPr>
  </w:style>
  <w:style w:type="paragraph" w:customStyle="1" w:styleId="Header4-Contactinfo">
    <w:name w:val="Header 4 - Contact info"/>
    <w:basedOn w:val="NoParagraphStyle"/>
    <w:uiPriority w:val="99"/>
    <w:semiHidden/>
    <w:rsid w:val="00257A99"/>
    <w:pPr>
      <w:spacing w:after="90" w:line="340" w:lineRule="atLeast"/>
    </w:pPr>
    <w:rPr>
      <w:rFonts w:ascii="Franklin Gothic Medium" w:hAnsi="Franklin Gothic Medium" w:cs="SourceSansPro-Semibold"/>
      <w:color w:val="2C6FB7"/>
      <w:szCs w:val="20"/>
    </w:rPr>
  </w:style>
  <w:style w:type="character" w:styleId="Hyperlink">
    <w:name w:val="Hyperlink"/>
    <w:basedOn w:val="DefaultParagraphFont"/>
    <w:uiPriority w:val="99"/>
    <w:semiHidden/>
    <w:rsid w:val="00257A99"/>
    <w:rPr>
      <w:rFonts w:ascii="Franklin Gothic Book" w:hAnsi="Franklin Gothic Book"/>
      <w:color w:val="0563C1" w:themeColor="hyperlink"/>
      <w:u w:val="single"/>
    </w:rPr>
  </w:style>
  <w:style w:type="character" w:customStyle="1" w:styleId="ItalEmphasis">
    <w:name w:val="Ital Emphasis"/>
    <w:uiPriority w:val="99"/>
    <w:semiHidden/>
    <w:rsid w:val="00257A99"/>
    <w:rPr>
      <w:rFonts w:ascii="Franklin Gothic Book" w:hAnsi="Franklin Gothic Book"/>
      <w:i/>
      <w:iCs/>
    </w:rPr>
  </w:style>
  <w:style w:type="paragraph" w:customStyle="1" w:styleId="ItalicEmphasis">
    <w:name w:val="Italic Emphasis"/>
    <w:basedOn w:val="Normal"/>
    <w:link w:val="ItalicEmphasisChar"/>
    <w:semiHidden/>
    <w:rsid w:val="00257A99"/>
    <w:pPr>
      <w:widowControl w:val="0"/>
      <w:suppressAutoHyphens/>
      <w:autoSpaceDE w:val="0"/>
      <w:autoSpaceDN w:val="0"/>
      <w:adjustRightInd w:val="0"/>
      <w:spacing w:before="120" w:after="0" w:line="280" w:lineRule="atLeast"/>
      <w:textAlignment w:val="center"/>
    </w:pPr>
    <w:rPr>
      <w:rFonts w:cs="SourceSansPro-Light"/>
      <w:b/>
      <w:i/>
      <w:color w:val="000000"/>
      <w:szCs w:val="21"/>
    </w:rPr>
  </w:style>
  <w:style w:type="character" w:customStyle="1" w:styleId="ItalicEmphasisChar">
    <w:name w:val="Italic Emphasis Char"/>
    <w:basedOn w:val="DefaultParagraphFont"/>
    <w:link w:val="ItalicEmphasis"/>
    <w:semiHidden/>
    <w:rsid w:val="00257A99"/>
    <w:rPr>
      <w:rFonts w:ascii="Franklin Gothic Book" w:hAnsi="Franklin Gothic Book" w:cs="SourceSansPro-Light"/>
      <w:b/>
      <w:i/>
      <w:color w:val="000000"/>
      <w:szCs w:val="21"/>
    </w:rPr>
  </w:style>
  <w:style w:type="paragraph" w:customStyle="1" w:styleId="Subpageheading">
    <w:name w:val="Subpage heading"/>
    <w:basedOn w:val="Header"/>
    <w:link w:val="SubpageheadingChar"/>
    <w:qFormat/>
    <w:rsid w:val="00257A99"/>
    <w:pPr>
      <w:tabs>
        <w:tab w:val="clear" w:pos="4680"/>
        <w:tab w:val="clear" w:pos="9360"/>
      </w:tabs>
      <w:jc w:val="right"/>
    </w:pPr>
    <w:rPr>
      <w:rFonts w:ascii="Franklin Gothic Medium" w:hAnsi="Franklin Gothic Medium"/>
      <w:caps/>
      <w:color w:val="5B9BD5" w:themeColor="accent1"/>
      <w:sz w:val="24"/>
      <w:szCs w:val="24"/>
    </w:rPr>
  </w:style>
  <w:style w:type="character" w:customStyle="1" w:styleId="SubpageheadingChar">
    <w:name w:val="Subpage heading Char"/>
    <w:basedOn w:val="HeaderChar"/>
    <w:link w:val="Subpageheading"/>
    <w:rsid w:val="00257A99"/>
    <w:rPr>
      <w:rFonts w:ascii="Franklin Gothic Medium" w:hAnsi="Franklin Gothic Medium"/>
      <w:caps/>
      <w:color w:val="5B9BD5" w:themeColor="accent1"/>
      <w:sz w:val="24"/>
      <w:szCs w:val="24"/>
    </w:rPr>
  </w:style>
  <w:style w:type="paragraph" w:styleId="NoSpacing">
    <w:name w:val="No Spacing"/>
    <w:uiPriority w:val="1"/>
    <w:rsid w:val="00E01D47"/>
    <w:pPr>
      <w:spacing w:after="0" w:line="240" w:lineRule="auto"/>
    </w:pPr>
    <w:rPr>
      <w:rFonts w:ascii="Franklin Gothic Book" w:hAnsi="Franklin Gothic Book"/>
    </w:rPr>
  </w:style>
  <w:style w:type="paragraph" w:styleId="Subtitle">
    <w:name w:val="Subtitle"/>
    <w:basedOn w:val="Normal"/>
    <w:next w:val="Normal"/>
    <w:link w:val="SubtitleChar"/>
    <w:uiPriority w:val="11"/>
    <w:semiHidden/>
    <w:rsid w:val="00257A99"/>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E01D47"/>
    <w:rPr>
      <w:rFonts w:ascii="Franklin Gothic Book" w:eastAsiaTheme="minorEastAsia" w:hAnsi="Franklin Gothic Book"/>
      <w:color w:val="5A5A5A" w:themeColor="text1" w:themeTint="A5"/>
      <w:spacing w:val="15"/>
      <w:sz w:val="22"/>
      <w:szCs w:val="22"/>
    </w:rPr>
  </w:style>
  <w:style w:type="character" w:styleId="SubtleEmphasis">
    <w:name w:val="Subtle Emphasis"/>
    <w:basedOn w:val="DefaultParagraphFont"/>
    <w:uiPriority w:val="19"/>
    <w:semiHidden/>
    <w:rsid w:val="00257A99"/>
    <w:rPr>
      <w:i/>
      <w:iCs/>
      <w:color w:val="404040" w:themeColor="text1" w:themeTint="BF"/>
    </w:rPr>
  </w:style>
  <w:style w:type="character" w:styleId="Emphasis">
    <w:name w:val="Emphasis"/>
    <w:basedOn w:val="DefaultParagraphFont"/>
    <w:uiPriority w:val="20"/>
    <w:semiHidden/>
    <w:rsid w:val="00257A99"/>
    <w:rPr>
      <w:i/>
      <w:iCs/>
    </w:rPr>
  </w:style>
  <w:style w:type="character" w:styleId="IntenseEmphasis">
    <w:name w:val="Intense Emphasis"/>
    <w:basedOn w:val="DefaultParagraphFont"/>
    <w:uiPriority w:val="21"/>
    <w:semiHidden/>
    <w:rsid w:val="00257A99"/>
    <w:rPr>
      <w:i/>
      <w:iCs/>
      <w:color w:val="5B9BD5" w:themeColor="accent1"/>
    </w:rPr>
  </w:style>
  <w:style w:type="character" w:styleId="Strong">
    <w:name w:val="Strong"/>
    <w:basedOn w:val="DefaultParagraphFont"/>
    <w:uiPriority w:val="22"/>
    <w:semiHidden/>
    <w:rsid w:val="00257A99"/>
    <w:rPr>
      <w:b/>
      <w:bCs/>
    </w:rPr>
  </w:style>
  <w:style w:type="paragraph" w:styleId="Quote">
    <w:name w:val="Quote"/>
    <w:basedOn w:val="Normal"/>
    <w:next w:val="Normal"/>
    <w:link w:val="QuoteChar"/>
    <w:uiPriority w:val="29"/>
    <w:semiHidden/>
    <w:rsid w:val="00257A9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E01D47"/>
    <w:rPr>
      <w:rFonts w:ascii="Franklin Gothic Book" w:hAnsi="Franklin Gothic Book"/>
      <w:i/>
      <w:iCs/>
      <w:color w:val="404040" w:themeColor="text1" w:themeTint="BF"/>
    </w:rPr>
  </w:style>
  <w:style w:type="paragraph" w:styleId="IntenseQuote">
    <w:name w:val="Intense Quote"/>
    <w:basedOn w:val="Normal"/>
    <w:next w:val="Normal"/>
    <w:link w:val="IntenseQuoteChar"/>
    <w:uiPriority w:val="30"/>
    <w:semiHidden/>
    <w:rsid w:val="00257A9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semiHidden/>
    <w:rsid w:val="00E01D47"/>
    <w:rPr>
      <w:rFonts w:ascii="Franklin Gothic Book" w:hAnsi="Franklin Gothic Book"/>
      <w:i/>
      <w:iCs/>
      <w:color w:val="5B9BD5" w:themeColor="accent1"/>
    </w:rPr>
  </w:style>
  <w:style w:type="character" w:styleId="SubtleReference">
    <w:name w:val="Subtle Reference"/>
    <w:basedOn w:val="DefaultParagraphFont"/>
    <w:uiPriority w:val="31"/>
    <w:semiHidden/>
    <w:rsid w:val="00257A99"/>
    <w:rPr>
      <w:smallCaps/>
      <w:color w:val="5A5A5A" w:themeColor="text1" w:themeTint="A5"/>
    </w:rPr>
  </w:style>
  <w:style w:type="character" w:styleId="IntenseReference">
    <w:name w:val="Intense Reference"/>
    <w:basedOn w:val="DefaultParagraphFont"/>
    <w:uiPriority w:val="32"/>
    <w:semiHidden/>
    <w:rsid w:val="00257A99"/>
    <w:rPr>
      <w:b/>
      <w:bCs/>
      <w:smallCaps/>
      <w:color w:val="5B9BD5" w:themeColor="accent1"/>
      <w:spacing w:val="5"/>
    </w:rPr>
  </w:style>
  <w:style w:type="character" w:styleId="BookTitle">
    <w:name w:val="Book Title"/>
    <w:basedOn w:val="DefaultParagraphFont"/>
    <w:uiPriority w:val="33"/>
    <w:semiHidden/>
    <w:rsid w:val="00257A99"/>
    <w:rPr>
      <w:b/>
      <w:bCs/>
      <w:i/>
      <w:iCs/>
      <w:spacing w:val="5"/>
    </w:rPr>
  </w:style>
  <w:style w:type="paragraph" w:styleId="ListParagraph">
    <w:name w:val="List Paragraph"/>
    <w:basedOn w:val="Normal"/>
    <w:uiPriority w:val="34"/>
    <w:semiHidden/>
    <w:rsid w:val="00257A99"/>
    <w:pPr>
      <w:ind w:left="720"/>
      <w:contextualSpacing/>
    </w:pPr>
  </w:style>
  <w:style w:type="paragraph" w:styleId="BalloonText">
    <w:name w:val="Balloon Text"/>
    <w:basedOn w:val="Normal"/>
    <w:link w:val="BalloonTextChar"/>
    <w:uiPriority w:val="99"/>
    <w:semiHidden/>
    <w:unhideWhenUsed/>
    <w:rsid w:val="00CF2A9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2A97"/>
    <w:rPr>
      <w:rFonts w:ascii="Segoe UI" w:hAnsi="Segoe UI" w:cs="Segoe UI"/>
      <w:sz w:val="18"/>
      <w:szCs w:val="18"/>
    </w:rPr>
  </w:style>
  <w:style w:type="paragraph" w:customStyle="1" w:styleId="Default">
    <w:name w:val="Default"/>
    <w:rsid w:val="00C45D30"/>
    <w:pPr>
      <w:autoSpaceDE w:val="0"/>
      <w:autoSpaceDN w:val="0"/>
      <w:adjustRightInd w:val="0"/>
      <w:spacing w:before="0" w:after="0" w:line="240" w:lineRule="auto"/>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ontent_x0020_Owner xmlns="686bc730-dfb5-4557-ac43-64e2aeb71117">
      <UserInfo>
        <DisplayName>Katie Rose</DisplayName>
        <AccountId>178</AccountId>
        <AccountType/>
      </UserInfo>
    </Content_x0020_Owner>
    <IconOverlay xmlns="http://schemas.microsoft.com/sharepoint/v4" xsi:nil="true"/>
    <Menu_x0020_Group xmlns="686bc730-dfb5-4557-ac43-64e2aeb71117">Publications &amp; Printing</Menu_x0020_Group>
    <PublishingExpirationDate xmlns="http://schemas.microsoft.com/sharepoint/v3" xsi:nil="true"/>
    <PublishingStartDate xmlns="http://schemas.microsoft.com/sharepoint/v3" xsi:nil="true"/>
    <Category xmlns="686bc730-dfb5-4557-ac43-64e2aeb71117">SBCTC Templates</Category>
    <_dlc_DocId xmlns="dbb9891f-5342-44b3-9004-2472729e727f">Z7X6SQ3F62JH-64-69</_dlc_DocId>
    <_dlc_DocIdUrl xmlns="dbb9891f-5342-44b3-9004-2472729e727f">
      <Url>https://portal.sbctc.edu/sites/Intranet/publications/_layouts/15/DocIdRedir.aspx?ID=Z7X6SQ3F62JH-64-69</Url>
      <Description>Z7X6SQ3F62JH-64-69</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301EAAAF5A9A14C98C32A8D7B77B290" ma:contentTypeVersion="4" ma:contentTypeDescription="Create a new document." ma:contentTypeScope="" ma:versionID="e364fc523c39ff84877964d62bb0c69e">
  <xsd:schema xmlns:xsd="http://www.w3.org/2001/XMLSchema" xmlns:xs="http://www.w3.org/2001/XMLSchema" xmlns:p="http://schemas.microsoft.com/office/2006/metadata/properties" xmlns:ns1="http://schemas.microsoft.com/sharepoint/v3" xmlns:ns2="686bc730-dfb5-4557-ac43-64e2aeb71117" xmlns:ns3="dbb9891f-5342-44b3-9004-2472729e727f" xmlns:ns4="http://schemas.microsoft.com/sharepoint/v4" targetNamespace="http://schemas.microsoft.com/office/2006/metadata/properties" ma:root="true" ma:fieldsID="b59568911a8627c463a330b5927c98aa" ns1:_="" ns2:_="" ns3:_="" ns4:_="">
    <xsd:import namespace="http://schemas.microsoft.com/sharepoint/v3"/>
    <xsd:import namespace="686bc730-dfb5-4557-ac43-64e2aeb71117"/>
    <xsd:import namespace="dbb9891f-5342-44b3-9004-2472729e727f"/>
    <xsd:import namespace="http://schemas.microsoft.com/sharepoint/v4"/>
    <xsd:element name="properties">
      <xsd:complexType>
        <xsd:sequence>
          <xsd:element name="documentManagement">
            <xsd:complexType>
              <xsd:all>
                <xsd:element ref="ns2:Menu_x0020_Group" minOccurs="0"/>
                <xsd:element ref="ns2:Category" minOccurs="0"/>
                <xsd:element ref="ns2:Content_x0020_Owner" minOccurs="0"/>
                <xsd:element ref="ns1:PublishingStartDate" minOccurs="0"/>
                <xsd:element ref="ns1:PublishingExpirationDate" minOccurs="0"/>
                <xsd:element ref="ns3:_dlc_DocId" minOccurs="0"/>
                <xsd:element ref="ns3:_dlc_DocIdUrl" minOccurs="0"/>
                <xsd:element ref="ns3:_dlc_DocIdPersistId"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 ma:internalName="PublishingStartDate">
      <xsd:simpleType>
        <xsd:restriction base="dms:Unknown"/>
      </xsd:simpleType>
    </xsd:element>
    <xsd:element name="PublishingExpirationDate" ma:index="12"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6bc730-dfb5-4557-ac43-64e2aeb71117" elementFormDefault="qualified">
    <xsd:import namespace="http://schemas.microsoft.com/office/2006/documentManagement/types"/>
    <xsd:import namespace="http://schemas.microsoft.com/office/infopath/2007/PartnerControls"/>
    <xsd:element name="Menu_x0020_Group" ma:index="2" nillable="true" ma:displayName="Menu Group" ma:default="Publications &amp; Printing" ma:format="Dropdown" ma:internalName="Menu_x0020_Group" ma:readOnly="false">
      <xsd:simpleType>
        <xsd:restriction base="dms:Choice">
          <xsd:enumeration value="Publications &amp; Printing"/>
        </xsd:restriction>
      </xsd:simpleType>
    </xsd:element>
    <xsd:element name="Category" ma:index="3" nillable="true" ma:displayName="Category" ma:format="Dropdown" ma:internalName="Category">
      <xsd:simpleType>
        <xsd:restriction base="dms:Choice">
          <xsd:enumeration value="Agency Issue Briefs"/>
          <xsd:enumeration value="Business Cards"/>
          <xsd:enumeration value="Name Badges"/>
          <xsd:enumeration value="Logos"/>
          <xsd:enumeration value="SBCTC Templates"/>
          <xsd:enumeration value="Style Guide"/>
        </xsd:restriction>
      </xsd:simpleType>
    </xsd:element>
    <xsd:element name="Content_x0020_Owner" ma:index="10" nillable="true" ma:displayName="Content Owner" ma:list="UserInfo" ma:SharePointGroup="0" ma:internalName="Conten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bb9891f-5342-44b3-9004-2472729e727f"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A48358-08D9-4AFB-90FE-CD888E2183A0}">
  <ds:schemaRefs>
    <ds:schemaRef ds:uri="http://schemas.microsoft.com/office/2006/metadata/properties"/>
    <ds:schemaRef ds:uri="http://schemas.microsoft.com/office/infopath/2007/PartnerControls"/>
    <ds:schemaRef ds:uri="686bc730-dfb5-4557-ac43-64e2aeb71117"/>
    <ds:schemaRef ds:uri="http://schemas.microsoft.com/sharepoint/v4"/>
    <ds:schemaRef ds:uri="http://schemas.microsoft.com/sharepoint/v3"/>
    <ds:schemaRef ds:uri="dbb9891f-5342-44b3-9004-2472729e727f"/>
  </ds:schemaRefs>
</ds:datastoreItem>
</file>

<file path=customXml/itemProps2.xml><?xml version="1.0" encoding="utf-8"?>
<ds:datastoreItem xmlns:ds="http://schemas.openxmlformats.org/officeDocument/2006/customXml" ds:itemID="{B8BC5034-13A3-4F32-8638-98837F9FD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6bc730-dfb5-4557-ac43-64e2aeb71117"/>
    <ds:schemaRef ds:uri="dbb9891f-5342-44b3-9004-2472729e727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FE8250-D740-4091-A153-98AB54637078}">
  <ds:schemaRefs>
    <ds:schemaRef ds:uri="http://schemas.openxmlformats.org/officeDocument/2006/bibliography"/>
  </ds:schemaRefs>
</ds:datastoreItem>
</file>

<file path=customXml/itemProps4.xml><?xml version="1.0" encoding="utf-8"?>
<ds:datastoreItem xmlns:ds="http://schemas.openxmlformats.org/officeDocument/2006/customXml" ds:itemID="{53432DDF-803D-42D5-9432-78F0C06CC769}">
  <ds:schemaRefs>
    <ds:schemaRef ds:uri="http://schemas.microsoft.com/sharepoint/events"/>
  </ds:schemaRefs>
</ds:datastoreItem>
</file>

<file path=customXml/itemProps5.xml><?xml version="1.0" encoding="utf-8"?>
<ds:datastoreItem xmlns:ds="http://schemas.openxmlformats.org/officeDocument/2006/customXml" ds:itemID="{409BEA51-77DD-420D-84D8-CD0B37EAC0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860</Words>
  <Characters>4907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Letterhead</vt:lpstr>
    </vt:vector>
  </TitlesOfParts>
  <Company/>
  <LinksUpToDate>false</LinksUpToDate>
  <CharactersWithSpaces>5756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subject/>
  <dc:creator>Teri Sexton</dc:creator>
  <cp:keywords/>
  <dc:description/>
  <cp:lastModifiedBy>Kim Cook</cp:lastModifiedBy>
  <cp:revision>2</cp:revision>
  <cp:lastPrinted>2018-01-03T19:38:00Z</cp:lastPrinted>
  <dcterms:created xsi:type="dcterms:W3CDTF">2024-07-11T16:41:00Z</dcterms:created>
  <dcterms:modified xsi:type="dcterms:W3CDTF">2024-07-11T16:41:00Z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0x0101007301EAAAF5A9A14C98C32A8D7B77B290</vt:lpwstr>
  </property>
  <property fmtid="{D5CDD505-2E9C-101B-9397-08002B2CF9AE}" pid="3" name="_dlc_DocIdItemGuid">
    <vt:lpwstr>0b30785d-3eee-483d-a025-f472dccdf5da</vt:lpwstr>
  </property>
</Properties>
</file>