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A6532" w14:textId="77777777" w:rsidR="00A9430D" w:rsidRPr="000A6E20" w:rsidRDefault="00A208A8" w:rsidP="00EE340D">
      <w:pPr>
        <w:jc w:val="center"/>
        <w:rPr>
          <w:b/>
        </w:rPr>
      </w:pPr>
      <w:r w:rsidRPr="000A6E20">
        <w:rPr>
          <w:b/>
        </w:rPr>
        <w:t>Spring 2024</w:t>
      </w:r>
      <w:r w:rsidR="00FF0DEC" w:rsidRPr="000A6E20">
        <w:rPr>
          <w:b/>
        </w:rPr>
        <w:t xml:space="preserve"> Meeting</w:t>
      </w:r>
    </w:p>
    <w:p w14:paraId="46B8F047" w14:textId="77777777" w:rsidR="00A9430D" w:rsidRPr="000A6E20" w:rsidRDefault="00A208A8" w:rsidP="00EE340D">
      <w:pPr>
        <w:jc w:val="center"/>
        <w:rPr>
          <w:b/>
        </w:rPr>
      </w:pPr>
      <w:r w:rsidRPr="000A6E20">
        <w:rPr>
          <w:b/>
        </w:rPr>
        <w:t>Thursday April 25</w:t>
      </w:r>
      <w:r w:rsidRPr="000A6E20">
        <w:rPr>
          <w:b/>
          <w:vertAlign w:val="superscript"/>
        </w:rPr>
        <w:t>th</w:t>
      </w:r>
      <w:r w:rsidR="002C3B49" w:rsidRPr="000A6E20">
        <w:rPr>
          <w:b/>
        </w:rPr>
        <w:t xml:space="preserve">- Friday April </w:t>
      </w:r>
      <w:r w:rsidRPr="000A6E20">
        <w:rPr>
          <w:b/>
        </w:rPr>
        <w:t>26</w:t>
      </w:r>
      <w:r w:rsidR="002C3B49" w:rsidRPr="000A6E20">
        <w:rPr>
          <w:b/>
          <w:vertAlign w:val="superscript"/>
        </w:rPr>
        <w:t>th</w:t>
      </w:r>
      <w:r w:rsidR="002C3B49" w:rsidRPr="000A6E20">
        <w:rPr>
          <w:b/>
        </w:rPr>
        <w:t xml:space="preserve"> </w:t>
      </w:r>
    </w:p>
    <w:p w14:paraId="3FE6A7B7" w14:textId="77777777" w:rsidR="00A9430D" w:rsidRPr="000A6E20" w:rsidRDefault="00A208A8" w:rsidP="00EE340D">
      <w:pPr>
        <w:jc w:val="center"/>
        <w:rPr>
          <w:b/>
        </w:rPr>
      </w:pPr>
      <w:r w:rsidRPr="000A6E20">
        <w:rPr>
          <w:b/>
        </w:rPr>
        <w:t xml:space="preserve">Big Bend Community College &amp; </w:t>
      </w:r>
      <w:r w:rsidR="00EE340D" w:rsidRPr="000A6E20">
        <w:rPr>
          <w:b/>
        </w:rPr>
        <w:t>Webex</w:t>
      </w:r>
    </w:p>
    <w:p w14:paraId="0EBCF2BF" w14:textId="77777777" w:rsidR="00A9430D" w:rsidRPr="00352DB7" w:rsidRDefault="00A9430D"/>
    <w:p w14:paraId="01B94602" w14:textId="77777777" w:rsidR="002C3B49" w:rsidRPr="00352DB7" w:rsidRDefault="002C3B49" w:rsidP="002C3B49">
      <w:pPr>
        <w:spacing w:before="20" w:line="289" w:lineRule="auto"/>
        <w:ind w:right="-20"/>
        <w:jc w:val="center"/>
        <w:rPr>
          <w:b/>
        </w:rPr>
      </w:pPr>
      <w:r w:rsidRPr="00352DB7">
        <w:rPr>
          <w:b/>
        </w:rPr>
        <w:t>Thursday April 25</w:t>
      </w:r>
      <w:r w:rsidRPr="00352DB7">
        <w:rPr>
          <w:b/>
          <w:vertAlign w:val="superscript"/>
        </w:rPr>
        <w:t>th</w:t>
      </w:r>
      <w:r w:rsidRPr="00352DB7">
        <w:rPr>
          <w:b/>
        </w:rPr>
        <w:t xml:space="preserve"> </w:t>
      </w:r>
    </w:p>
    <w:tbl>
      <w:tblPr>
        <w:tblStyle w:val="2"/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A9430D" w:rsidRPr="00352DB7" w14:paraId="7E45056F" w14:textId="77777777">
        <w:trPr>
          <w:trHeight w:val="4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6C2E" w14:textId="77777777" w:rsidR="00A9430D" w:rsidRPr="00352DB7" w:rsidRDefault="00EE340D">
            <w:pPr>
              <w:spacing w:line="291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8:30am</w:t>
            </w:r>
            <w:r w:rsidR="00E008BB" w:rsidRPr="00352DB7">
              <w:rPr>
                <w:b/>
              </w:rPr>
              <w:t xml:space="preserve"> </w:t>
            </w:r>
            <w:r w:rsidRPr="00352DB7">
              <w:rPr>
                <w:b/>
              </w:rPr>
              <w:t>-</w:t>
            </w:r>
            <w:r w:rsidR="00E008BB" w:rsidRPr="00352DB7">
              <w:rPr>
                <w:b/>
              </w:rPr>
              <w:t xml:space="preserve"> </w:t>
            </w:r>
            <w:r w:rsidRPr="00352DB7">
              <w:rPr>
                <w:b/>
              </w:rPr>
              <w:t>9:00am</w:t>
            </w:r>
          </w:p>
        </w:tc>
        <w:tc>
          <w:tcPr>
            <w:tcW w:w="7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F60F" w14:textId="77777777" w:rsidR="00A9430D" w:rsidRPr="00352DB7" w:rsidRDefault="00887D99">
            <w:pPr>
              <w:spacing w:line="291" w:lineRule="auto"/>
              <w:ind w:right="-20"/>
            </w:pPr>
            <w:r w:rsidRPr="00352DB7">
              <w:t xml:space="preserve">Casual conversation &amp; </w:t>
            </w:r>
            <w:r w:rsidR="000A6E20">
              <w:t>light refreshments</w:t>
            </w:r>
          </w:p>
          <w:p w14:paraId="2EDD63A9" w14:textId="77777777" w:rsidR="00A9430D" w:rsidRPr="00352DB7" w:rsidRDefault="00887D99">
            <w:pPr>
              <w:spacing w:line="291" w:lineRule="auto"/>
              <w:ind w:right="-20"/>
            </w:pPr>
            <w:r w:rsidRPr="00352DB7">
              <w:t>NOTE: No official business or training should take place during this time to prevent others still joining missing necessary information.</w:t>
            </w:r>
          </w:p>
        </w:tc>
      </w:tr>
      <w:tr w:rsidR="00A9430D" w:rsidRPr="00352DB7" w14:paraId="33C7ED4F" w14:textId="77777777">
        <w:trPr>
          <w:trHeight w:val="48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789F" w14:textId="77777777" w:rsidR="00A9430D" w:rsidRPr="00352DB7" w:rsidRDefault="00887D99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9:00am</w:t>
            </w:r>
            <w:r w:rsidR="00E008BB" w:rsidRPr="00352DB7">
              <w:rPr>
                <w:b/>
              </w:rPr>
              <w:t xml:space="preserve"> </w:t>
            </w:r>
            <w:r w:rsidRPr="00352DB7">
              <w:rPr>
                <w:b/>
              </w:rPr>
              <w:t>-</w:t>
            </w:r>
            <w:r w:rsidR="00E008BB" w:rsidRPr="00352DB7">
              <w:rPr>
                <w:b/>
              </w:rPr>
              <w:t xml:space="preserve"> </w:t>
            </w:r>
            <w:r w:rsidRPr="00352DB7">
              <w:rPr>
                <w:b/>
              </w:rPr>
              <w:t>9:</w:t>
            </w:r>
            <w:r w:rsidR="00E008BB" w:rsidRPr="00352DB7">
              <w:rPr>
                <w:b/>
              </w:rPr>
              <w:t>15</w:t>
            </w:r>
            <w:r w:rsidRPr="00352DB7">
              <w:rPr>
                <w:b/>
              </w:rPr>
              <w:t>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64AFF" w14:textId="77777777" w:rsidR="00A9430D" w:rsidRPr="00352DB7" w:rsidRDefault="00887D99">
            <w:pPr>
              <w:spacing w:line="288" w:lineRule="auto"/>
              <w:ind w:right="-20"/>
            </w:pPr>
            <w:r w:rsidRPr="00352DB7">
              <w:t xml:space="preserve">Welcome </w:t>
            </w:r>
            <w:r w:rsidR="002C3B49" w:rsidRPr="00352DB7">
              <w:t>and Agenda</w:t>
            </w:r>
          </w:p>
        </w:tc>
      </w:tr>
      <w:tr w:rsidR="00A9430D" w:rsidRPr="00352DB7" w14:paraId="75380D71" w14:textId="77777777">
        <w:trPr>
          <w:trHeight w:val="79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ACEB" w14:textId="77777777" w:rsidR="00A9430D" w:rsidRPr="00352DB7" w:rsidRDefault="00FF0DEC">
            <w:pPr>
              <w:spacing w:line="288" w:lineRule="auto"/>
              <w:ind w:right="-20"/>
              <w:rPr>
                <w:b/>
              </w:rPr>
            </w:pPr>
            <w:r w:rsidRPr="00352DB7">
              <w:rPr>
                <w:b/>
              </w:rPr>
              <w:t xml:space="preserve">   </w:t>
            </w:r>
            <w:r w:rsidR="00E008BB" w:rsidRPr="00352DB7">
              <w:rPr>
                <w:b/>
              </w:rPr>
              <w:t>9:15</w:t>
            </w:r>
            <w:r w:rsidRPr="00352DB7">
              <w:rPr>
                <w:b/>
              </w:rPr>
              <w:t xml:space="preserve">am </w:t>
            </w:r>
            <w:r w:rsidR="00561974" w:rsidRPr="00352DB7">
              <w:rPr>
                <w:b/>
              </w:rPr>
              <w:t>–</w:t>
            </w:r>
            <w:r w:rsidRPr="00352DB7">
              <w:rPr>
                <w:b/>
              </w:rPr>
              <w:t xml:space="preserve"> </w:t>
            </w:r>
            <w:r w:rsidR="00561974" w:rsidRPr="00352DB7">
              <w:rPr>
                <w:b/>
              </w:rPr>
              <w:t>10</w:t>
            </w:r>
            <w:r w:rsidRPr="00352DB7">
              <w:rPr>
                <w:b/>
              </w:rPr>
              <w:t>:00am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7635" w14:textId="77777777" w:rsidR="00561974" w:rsidRPr="00352DB7" w:rsidRDefault="00E008BB" w:rsidP="00561974">
            <w:pPr>
              <w:spacing w:line="288" w:lineRule="auto"/>
              <w:ind w:right="-20"/>
            </w:pPr>
            <w:r w:rsidRPr="00352DB7">
              <w:t>BAR Business</w:t>
            </w:r>
            <w:r w:rsidR="00561974" w:rsidRPr="00352DB7">
              <w:t>:</w:t>
            </w:r>
          </w:p>
          <w:p w14:paraId="3D80A9FE" w14:textId="77777777" w:rsidR="00561974" w:rsidRPr="00352DB7" w:rsidRDefault="00561974" w:rsidP="00561974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>Approval of previous meeting minutes – Debra Maxwell, BAR Secretary, Wenatchee Valley College</w:t>
            </w:r>
          </w:p>
          <w:p w14:paraId="1DCC3DEC" w14:textId="13289EFB" w:rsidR="00CA5F8C" w:rsidRPr="00352DB7" w:rsidRDefault="00561974" w:rsidP="00CA5F8C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>BAC Report – Charlene Rios, BAC Liaison, Big Bend Community College</w:t>
            </w:r>
            <w:r w:rsidR="00282B97">
              <w:br/>
              <w:t xml:space="preserve">April 12, 2024 – Fiscal health measures reports went out; FAFSA’s behind, talk of options, college decisions on how will handle student aid (3.5%, Foundation), don’t know how long Feds going to make us wait; </w:t>
            </w:r>
            <w:r w:rsidR="00282B97">
              <w:br/>
              <w:t xml:space="preserve">Operating Budgets – tuition loaded for most; allocation 2 FY25 in the works, may not see as often, will do bigger ones with smaller ones; </w:t>
            </w:r>
            <w:r w:rsidR="00282B97">
              <w:br/>
              <w:t>Capital supplemental budget passed, clean building act not yet; 25-27 budget went to BAC, discussing prioritization, PRR</w:t>
            </w:r>
            <w:r w:rsidR="00282B97">
              <w:br/>
              <w:t xml:space="preserve">Allocation model, </w:t>
            </w:r>
            <w:r w:rsidR="00255CF0">
              <w:t>Presidents</w:t>
            </w:r>
            <w:r w:rsidR="00282B97">
              <w:t xml:space="preserve"> are asking a lot of questions</w:t>
            </w:r>
            <w:r w:rsidR="00282B97">
              <w:br/>
              <w:t>So many changes since COVID</w:t>
            </w:r>
            <w:r w:rsidR="00CA5F8C">
              <w:t xml:space="preserve"> (staffing)</w:t>
            </w:r>
            <w:r w:rsidR="00282B97">
              <w:t xml:space="preserve">, so we need to change how we’re doing </w:t>
            </w:r>
            <w:r w:rsidR="00CA5F8C">
              <w:t>these things compared to the past.</w:t>
            </w:r>
            <w:r w:rsidR="00CA5F8C">
              <w:br/>
              <w:t>Operations – standardization of business processes</w:t>
            </w:r>
            <w:r w:rsidR="00CA5F8C">
              <w:br/>
              <w:t>IT - WATECH pushing ctcLink standardization</w:t>
            </w:r>
            <w:r w:rsidR="00CA5F8C">
              <w:br/>
              <w:t>New student success software, bank rec software</w:t>
            </w:r>
            <w:r w:rsidR="00CA5F8C">
              <w:br/>
              <w:t>Adjunct pay equity bill – picking apart language, supposed to be paying 85% of full-time, but what makes up the full-time/85%</w:t>
            </w:r>
            <w:r w:rsidR="00CA5F8C">
              <w:br/>
              <w:t xml:space="preserve">Sen Bill 1559 for additional student need – navigator position </w:t>
            </w:r>
            <w:r w:rsidR="00CA5F8C">
              <w:br/>
              <w:t xml:space="preserve">HB 2112 – progression and training on </w:t>
            </w:r>
            <w:r w:rsidR="0054288A">
              <w:t>opioid</w:t>
            </w:r>
            <w:r w:rsidR="00CA5F8C">
              <w:t xml:space="preserve"> and substance abuse ($6K per college for training, $26K if have resident hall, bill says training needs to be in person, trying to come up with remote options)</w:t>
            </w:r>
            <w:r w:rsidR="00CA5F8C">
              <w:br/>
              <w:t>Additional corrections student funding</w:t>
            </w:r>
          </w:p>
          <w:p w14:paraId="5998C722" w14:textId="6FAE3C60" w:rsidR="00282B97" w:rsidRDefault="00773EC6" w:rsidP="00282B97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>Treasurer’s Report – Sydni Yager, BAR Chair, Grays Harbor College</w:t>
            </w:r>
            <w:r w:rsidR="00282B97">
              <w:br/>
              <w:t>Angela has left; Sydni reported balance, same as last meeting ($9,441.35)</w:t>
            </w:r>
          </w:p>
          <w:p w14:paraId="2CE32812" w14:textId="30AF5E22" w:rsidR="00AD75F8" w:rsidRPr="00352DB7" w:rsidRDefault="00AD75F8" w:rsidP="00AD75F8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>
              <w:t xml:space="preserve">Added discussion of when and how to have future meetings – Fall &amp; Spring in person, Winter Zoom; Centralia will do Fall, </w:t>
            </w:r>
          </w:p>
          <w:p w14:paraId="34270B81" w14:textId="77777777" w:rsidR="00561974" w:rsidRPr="00352DB7" w:rsidRDefault="00561974" w:rsidP="00561974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>Discussion &amp; Voting – Sydni Yager, BAR Chair, Grays Harbor College</w:t>
            </w:r>
          </w:p>
          <w:p w14:paraId="58F11BB8" w14:textId="1743470E" w:rsidR="00A208A8" w:rsidRPr="00352DB7" w:rsidRDefault="00A208A8" w:rsidP="00A208A8">
            <w:pPr>
              <w:pStyle w:val="ListParagraph"/>
              <w:numPr>
                <w:ilvl w:val="1"/>
                <w:numId w:val="10"/>
              </w:numPr>
              <w:spacing w:line="288" w:lineRule="auto"/>
              <w:ind w:right="-20"/>
            </w:pPr>
            <w:r w:rsidRPr="00352DB7">
              <w:t>FY25 BAR Leadership</w:t>
            </w:r>
            <w:r w:rsidR="00282B97">
              <w:t xml:space="preserve"> – Open positions, Chair Elect, Treasurer, Secretary</w:t>
            </w:r>
            <w:r w:rsidR="00AD75F8">
              <w:br/>
            </w:r>
            <w:r w:rsidR="00AD75F8">
              <w:lastRenderedPageBreak/>
              <w:t xml:space="preserve">Secretary – </w:t>
            </w:r>
            <w:r w:rsidR="00B04AE4">
              <w:t>Sydni Yager</w:t>
            </w:r>
            <w:r w:rsidR="00AD75F8">
              <w:br/>
              <w:t>Chair Elect – Jennifer Fenske</w:t>
            </w:r>
          </w:p>
          <w:p w14:paraId="34C1431A" w14:textId="26E61B60" w:rsidR="00AD75F8" w:rsidRPr="00352DB7" w:rsidRDefault="00773EC6" w:rsidP="00AD75F8">
            <w:pPr>
              <w:pStyle w:val="ListParagraph"/>
              <w:numPr>
                <w:ilvl w:val="1"/>
                <w:numId w:val="10"/>
              </w:numPr>
              <w:spacing w:line="288" w:lineRule="auto"/>
              <w:ind w:right="-20"/>
            </w:pPr>
            <w:r w:rsidRPr="00352DB7">
              <w:t xml:space="preserve">FY24 Treasurer </w:t>
            </w:r>
            <w:r w:rsidR="003E7CAD">
              <w:t>– Angela Garza elected through FY25</w:t>
            </w:r>
          </w:p>
        </w:tc>
      </w:tr>
      <w:tr w:rsidR="00A9430D" w:rsidRPr="00352DB7" w14:paraId="1B92B0C1" w14:textId="77777777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8F75" w14:textId="77777777" w:rsidR="00A9430D" w:rsidRPr="00352DB7" w:rsidRDefault="00561974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lastRenderedPageBreak/>
              <w:t>10</w:t>
            </w:r>
            <w:r w:rsidR="00CA0275" w:rsidRPr="00352DB7">
              <w:rPr>
                <w:b/>
              </w:rPr>
              <w:t>:00am – 11:00am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2219" w14:textId="77777777" w:rsidR="00A208A8" w:rsidRPr="00DC5957" w:rsidRDefault="00A208A8" w:rsidP="00E95C22">
            <w:pPr>
              <w:spacing w:line="288" w:lineRule="auto"/>
              <w:ind w:right="-20"/>
            </w:pPr>
            <w:r w:rsidRPr="00DC5957">
              <w:t>Killian Outline</w:t>
            </w:r>
          </w:p>
          <w:p w14:paraId="2A68DB52" w14:textId="77777777" w:rsidR="00A208A8" w:rsidRPr="00DC5957" w:rsidRDefault="00E95C22" w:rsidP="000A6E20">
            <w:pPr>
              <w:pStyle w:val="ListParagraph"/>
              <w:numPr>
                <w:ilvl w:val="0"/>
                <w:numId w:val="11"/>
              </w:numPr>
              <w:spacing w:line="288" w:lineRule="auto"/>
              <w:ind w:right="-20"/>
            </w:pPr>
            <w:r w:rsidRPr="00DC5957">
              <w:t>Bruce Marvin, AAG</w:t>
            </w:r>
            <w:r w:rsidR="00AD75F8" w:rsidRPr="00DC5957">
              <w:br/>
            </w:r>
          </w:p>
          <w:p w14:paraId="7BBB1C9D" w14:textId="27A6818F" w:rsidR="00AD75F8" w:rsidRPr="00DC5957" w:rsidRDefault="006C1853" w:rsidP="00AD75F8">
            <w:pPr>
              <w:spacing w:line="288" w:lineRule="auto"/>
              <w:ind w:left="360" w:right="-20"/>
            </w:pPr>
            <w:r w:rsidRPr="00DC5957">
              <w:t xml:space="preserve">Service &amp; Activities Fees </w:t>
            </w:r>
            <w:r w:rsidR="00265D11" w:rsidRPr="00DC5957">
              <w:t>–</w:t>
            </w:r>
            <w:r w:rsidRPr="00DC5957">
              <w:t xml:space="preserve"> </w:t>
            </w:r>
            <w:r w:rsidR="00265D11" w:rsidRPr="00DC5957">
              <w:t>Defining, restrictions, permissible uses, impermissible uses, how distributed</w:t>
            </w:r>
            <w:r w:rsidR="000E518F" w:rsidRPr="00DC5957">
              <w:br/>
            </w:r>
            <w:r w:rsidR="00074B5B" w:rsidRPr="00DC5957">
              <w:br/>
            </w:r>
            <w:r w:rsidR="000E518F" w:rsidRPr="00DC5957">
              <w:t xml:space="preserve">Killian compiled information from </w:t>
            </w:r>
            <w:r w:rsidR="00B92D2B" w:rsidRPr="00DC5957">
              <w:t>AG guidance, has become general guidance</w:t>
            </w:r>
            <w:r w:rsidR="00855F08" w:rsidRPr="00DC5957">
              <w:t>; not a replacement for student government policies</w:t>
            </w:r>
            <w:r w:rsidR="00734C48" w:rsidRPr="00DC5957">
              <w:t>; if need assistance on interpretation, etc. contact AAG for guidance</w:t>
            </w:r>
            <w:r w:rsidR="00734C48" w:rsidRPr="00DC5957">
              <w:br/>
            </w:r>
            <w:r w:rsidR="00074B5B" w:rsidRPr="00DC5957">
              <w:br/>
            </w:r>
            <w:r w:rsidR="00734C48" w:rsidRPr="00DC5957">
              <w:t>28B.45.041</w:t>
            </w:r>
            <w:r w:rsidR="003068DF" w:rsidRPr="00DC5957">
              <w:t xml:space="preserve"> – other than tuition fees, charged to all students</w:t>
            </w:r>
          </w:p>
          <w:p w14:paraId="129E9149" w14:textId="77777777" w:rsidR="009514D3" w:rsidRDefault="00D33797" w:rsidP="00AD75F8">
            <w:pPr>
              <w:spacing w:line="288" w:lineRule="auto"/>
              <w:ind w:left="360" w:right="-20"/>
            </w:pPr>
            <w:r w:rsidRPr="00DC5957">
              <w:t xml:space="preserve">Is it legally authorized and does it </w:t>
            </w:r>
            <w:r w:rsidR="00DA2C5E" w:rsidRPr="00DC5957">
              <w:t xml:space="preserve">not </w:t>
            </w:r>
            <w:r w:rsidRPr="00DC5957">
              <w:t xml:space="preserve">violate the </w:t>
            </w:r>
            <w:r w:rsidR="00DA2C5E" w:rsidRPr="00DC5957">
              <w:t xml:space="preserve">constitutional prohibition </w:t>
            </w:r>
            <w:r w:rsidR="00716A30" w:rsidRPr="00DC5957">
              <w:t>against of state funds</w:t>
            </w:r>
            <w:r w:rsidR="00E9294C" w:rsidRPr="00DC5957">
              <w:t xml:space="preserve"> (Article VIII, Sec 5)</w:t>
            </w:r>
            <w:r w:rsidR="00074B5B" w:rsidRPr="00DC5957">
              <w:t xml:space="preserve"> – must be yes to both</w:t>
            </w:r>
            <w:r w:rsidR="00C849CC" w:rsidRPr="00DC5957">
              <w:br/>
            </w:r>
            <w:r w:rsidR="00C849CC" w:rsidRPr="00DC5957">
              <w:br/>
              <w:t xml:space="preserve">Student </w:t>
            </w:r>
            <w:r w:rsidR="00DC5957" w:rsidRPr="00DC5957">
              <w:t>activities</w:t>
            </w:r>
            <w:r w:rsidR="00C849CC" w:rsidRPr="00DC5957">
              <w:t xml:space="preserve"> – co</w:t>
            </w:r>
            <w:r w:rsidR="00DE2401" w:rsidRPr="00DC5957">
              <w:t>-</w:t>
            </w:r>
            <w:r w:rsidR="00C849CC" w:rsidRPr="00DC5957">
              <w:t>curricular or extra-c</w:t>
            </w:r>
            <w:r w:rsidR="00DE2401" w:rsidRPr="00DC5957">
              <w:t>u</w:t>
            </w:r>
            <w:r w:rsidR="00C849CC" w:rsidRPr="00DC5957">
              <w:t>rricular activities</w:t>
            </w:r>
            <w:r w:rsidR="00DE2401" w:rsidRPr="00DC5957">
              <w:br/>
              <w:t>S&amp;A fee are state funds</w:t>
            </w:r>
            <w:r w:rsidR="00E9294C" w:rsidRPr="00DC5957">
              <w:br/>
            </w:r>
            <w:r w:rsidR="00762352" w:rsidRPr="00DC5957">
              <w:t>Students propose budget through student government</w:t>
            </w:r>
            <w:r w:rsidR="00DC5957">
              <w:t xml:space="preserve"> (strong role)</w:t>
            </w:r>
            <w:r w:rsidR="00762352" w:rsidRPr="00DC5957">
              <w:t xml:space="preserve">, consideration by college administration, then </w:t>
            </w:r>
            <w:r w:rsidR="00AF7AFE" w:rsidRPr="00DC5957">
              <w:t xml:space="preserve">adopting/approving by Board of </w:t>
            </w:r>
            <w:r w:rsidR="00DC5957" w:rsidRPr="00DC5957">
              <w:t>Trustees</w:t>
            </w:r>
            <w:r w:rsidR="00AF7AFE" w:rsidRPr="00DC5957">
              <w:t>.</w:t>
            </w:r>
            <w:r w:rsidR="00716A30" w:rsidRPr="00DC5957">
              <w:br/>
            </w:r>
            <w:r w:rsidR="00186368">
              <w:t xml:space="preserve">Conflicts between S&amp;A Fee Committee and College budget priorities are subject to a dispute </w:t>
            </w:r>
            <w:r w:rsidR="0085376B">
              <w:t xml:space="preserve">resolution process </w:t>
            </w:r>
            <w:r w:rsidR="00D53B7F">
              <w:t xml:space="preserve">if necessary </w:t>
            </w:r>
            <w:r w:rsidR="0085376B">
              <w:t>(28B.15.045(6)-(8).</w:t>
            </w:r>
            <w:r w:rsidR="00D53B7F">
              <w:br/>
            </w:r>
            <w:r w:rsidR="00D53B7F">
              <w:br/>
              <w:t>Approved activities – Student government, club, student programming; health and wellness services, retreats/conferences</w:t>
            </w:r>
            <w:r w:rsidR="0022687C">
              <w:t>; musical, dramatic and artistic presentations; debates and scientific presentations; child care center costs;</w:t>
            </w:r>
            <w:r w:rsidR="00716CC4">
              <w:t xml:space="preserve"> (see slides for full list)</w:t>
            </w:r>
            <w:r w:rsidR="000B32FE">
              <w:t>; tutorial or co-curriculum provided not cri</w:t>
            </w:r>
            <w:r w:rsidR="00433725">
              <w:t>tical to operation of the college; student food bank (if only serve students)</w:t>
            </w:r>
            <w:r w:rsidR="00190246">
              <w:br/>
            </w:r>
            <w:r w:rsidR="00190246">
              <w:br/>
            </w:r>
            <w:r w:rsidR="00C10A42">
              <w:t>Can be used for a student loan fund for needy students (with restrictions)</w:t>
            </w:r>
            <w:r w:rsidR="00B65DDB">
              <w:t xml:space="preserve"> 28B.10.825</w:t>
            </w:r>
            <w:r w:rsidR="00B65DDB">
              <w:br/>
              <w:t>Other scholarships fall into “legal grey area”.</w:t>
            </w:r>
            <w:r w:rsidR="00712008">
              <w:t xml:space="preserve">  Awarded to enrolled students, and based on need or consideration (</w:t>
            </w:r>
            <w:r w:rsidR="00752D79">
              <w:t xml:space="preserve">athletics, </w:t>
            </w:r>
            <w:r w:rsidR="00951403">
              <w:t>extra-curricular program contributions (</w:t>
            </w:r>
            <w:r w:rsidR="00D2267B">
              <w:t>stagehand</w:t>
            </w:r>
            <w:r w:rsidR="00951403">
              <w:t>)</w:t>
            </w:r>
            <w:r w:rsidR="00DF0808">
              <w:br/>
            </w:r>
            <w:r w:rsidR="00DF0808">
              <w:br/>
              <w:t xml:space="preserve">Can fund student political/religious clubs; </w:t>
            </w:r>
            <w:r w:rsidR="00CA1664">
              <w:t>Allocation of funds must be neutral with respect their view point; must receive same access to college facilities, resources and services as other groups</w:t>
            </w:r>
            <w:r w:rsidR="00B77F1E">
              <w:br/>
            </w:r>
            <w:r w:rsidR="00B77F1E">
              <w:br/>
            </w:r>
            <w:r w:rsidR="00285219">
              <w:t>Lobbying by student government</w:t>
            </w:r>
            <w:r w:rsidR="00DE7422">
              <w:t>s is authorized</w:t>
            </w:r>
            <w:r w:rsidR="005E7B21">
              <w:t>, except lobbying by students not through the student gove</w:t>
            </w:r>
            <w:r w:rsidR="006E7F6C">
              <w:t>rn</w:t>
            </w:r>
            <w:r w:rsidR="005E7B21">
              <w:t>ment</w:t>
            </w:r>
            <w:r w:rsidR="006E7F6C">
              <w:t xml:space="preserve"> (42A.17A</w:t>
            </w:r>
            <w:r w:rsidR="005E7B21">
              <w:t>.</w:t>
            </w:r>
            <w:r w:rsidR="006E7F6C">
              <w:t>635)</w:t>
            </w:r>
            <w:r w:rsidR="00465A76">
              <w:br/>
            </w:r>
            <w:r w:rsidR="00465A76">
              <w:lastRenderedPageBreak/>
              <w:br/>
              <w:t>Fundraising – used as “seed money”, revenues commingled with state funds and are subject to college restrictions</w:t>
            </w:r>
            <w:r w:rsidR="00F720F7">
              <w:br/>
            </w:r>
          </w:p>
          <w:p w14:paraId="36ACBB1A" w14:textId="669AE597" w:rsidR="00BF3396" w:rsidRPr="00DC5957" w:rsidRDefault="00F720F7" w:rsidP="00AD75F8">
            <w:pPr>
              <w:spacing w:line="288" w:lineRule="auto"/>
              <w:ind w:left="360" w:right="-20"/>
            </w:pPr>
            <w:r>
              <w:t xml:space="preserve">Done without using state property or money is private, may be used without restriction, but must be segregated </w:t>
            </w:r>
            <w:r w:rsidR="002B25C1">
              <w:t>from public funds in a “trust account”.</w:t>
            </w:r>
            <w:r w:rsidR="002B25C1">
              <w:br/>
            </w:r>
            <w:r w:rsidR="002B25C1">
              <w:br/>
              <w:t>Retain private character if state facilities are used if:</w:t>
            </w:r>
            <w:r w:rsidR="002B25C1">
              <w:br/>
            </w:r>
            <w:r w:rsidR="00B13297">
              <w:t>Pay rent at FMV, and occurs in public area in compliance with college fair use policy</w:t>
            </w:r>
            <w:r w:rsidR="009514D3">
              <w:br/>
            </w:r>
            <w:r w:rsidR="009514D3">
              <w:br/>
              <w:t xml:space="preserve">Impermissible uses </w:t>
            </w:r>
            <w:r w:rsidR="003C6ADC">
              <w:t>–</w:t>
            </w:r>
            <w:r w:rsidR="009514D3">
              <w:t xml:space="preserve"> </w:t>
            </w:r>
            <w:r w:rsidR="003C6ADC">
              <w:t>gifts (free G&amp;S without consideration), Lobbying other than approved by 28B.15</w:t>
            </w:r>
            <w:r w:rsidR="009017D3">
              <w:t xml:space="preserve">.610, political contributions, </w:t>
            </w:r>
            <w:r w:rsidR="002F2638">
              <w:t>salaries of persons not providing student services related programmin</w:t>
            </w:r>
            <w:r w:rsidR="000A70C4">
              <w:t>g, complimentary tickets/admissions for promotional purposes</w:t>
            </w:r>
            <w:r w:rsidR="000C5090">
              <w:br/>
            </w:r>
            <w:r w:rsidR="000C5090">
              <w:br/>
              <w:t>Voluntary Fees – separate and distinct from S&amp;A, are authorized by 28B.15.610</w:t>
            </w:r>
            <w:r w:rsidR="00970479">
              <w:t>, only authorized means of assessing across the board student fees at CTCs, frequently used to pay for and maintain student tech</w:t>
            </w:r>
          </w:p>
        </w:tc>
      </w:tr>
      <w:tr w:rsidR="00A9430D" w:rsidRPr="00352DB7" w14:paraId="633F56A7" w14:textId="77777777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39D4D" w14:textId="77777777" w:rsidR="00A9430D" w:rsidRPr="00352DB7" w:rsidRDefault="00C92051">
            <w:pPr>
              <w:spacing w:line="288" w:lineRule="auto"/>
              <w:ind w:left="200" w:right="-20"/>
              <w:rPr>
                <w:b/>
              </w:rPr>
            </w:pPr>
            <w:bookmarkStart w:id="0" w:name="_Hlk148369804"/>
            <w:r w:rsidRPr="00352DB7">
              <w:rPr>
                <w:b/>
              </w:rPr>
              <w:lastRenderedPageBreak/>
              <w:t>11:00am – 12:00pm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66DDC" w14:textId="77777777" w:rsidR="00C92051" w:rsidRPr="00DC5957" w:rsidRDefault="00E95C22" w:rsidP="00E95C22">
            <w:pPr>
              <w:spacing w:line="288" w:lineRule="auto"/>
              <w:ind w:right="-20"/>
            </w:pPr>
            <w:r w:rsidRPr="00DC5957">
              <w:t>Collections, Fraud &amp; Bankruptcy</w:t>
            </w:r>
          </w:p>
          <w:p w14:paraId="459BC398" w14:textId="77777777" w:rsidR="00E95C22" w:rsidRDefault="00E95C22" w:rsidP="00E95C22">
            <w:pPr>
              <w:pStyle w:val="ListParagraph"/>
              <w:numPr>
                <w:ilvl w:val="0"/>
                <w:numId w:val="12"/>
              </w:numPr>
              <w:spacing w:line="288" w:lineRule="auto"/>
              <w:ind w:right="-20"/>
            </w:pPr>
            <w:r w:rsidRPr="00DC5957">
              <w:t>Aileen Miller, AAG</w:t>
            </w:r>
          </w:p>
          <w:p w14:paraId="1871053A" w14:textId="77777777" w:rsidR="00C4316C" w:rsidRDefault="00C4316C" w:rsidP="00C4316C">
            <w:pPr>
              <w:spacing w:line="288" w:lineRule="auto"/>
              <w:ind w:right="-20"/>
            </w:pPr>
          </w:p>
          <w:p w14:paraId="435388F3" w14:textId="77777777" w:rsidR="00C4316C" w:rsidRDefault="002015CA" w:rsidP="00C4316C">
            <w:pPr>
              <w:spacing w:line="288" w:lineRule="auto"/>
              <w:ind w:left="360" w:right="-20"/>
            </w:pPr>
            <w:r>
              <w:t xml:space="preserve">Debt collection – Financing, interest, late charges, CA contracts, Fair Debt Collection </w:t>
            </w:r>
            <w:r w:rsidR="009B5ED0">
              <w:t>Practices act</w:t>
            </w:r>
            <w:r w:rsidR="009B5ED0">
              <w:br/>
            </w:r>
          </w:p>
          <w:p w14:paraId="65814B8B" w14:textId="2B6D70A3" w:rsidR="007619FF" w:rsidRDefault="009B5ED0" w:rsidP="007619FF">
            <w:pPr>
              <w:spacing w:line="288" w:lineRule="auto"/>
              <w:ind w:left="360" w:right="-20"/>
            </w:pPr>
            <w:r>
              <w:t>28B.10.293</w:t>
            </w:r>
            <w:r w:rsidR="007619FF">
              <w:t xml:space="preserve"> re financing and late charges</w:t>
            </w:r>
            <w:r w:rsidR="001E2DC1">
              <w:t xml:space="preserve"> (may impose)</w:t>
            </w:r>
            <w:r w:rsidR="007619FF">
              <w:t xml:space="preserve">; 43.17.240 </w:t>
            </w:r>
            <w:r w:rsidR="007619FF">
              <w:rPr>
                <w:u w:val="single"/>
              </w:rPr>
              <w:t>shall</w:t>
            </w:r>
            <w:r w:rsidR="007619FF">
              <w:t xml:space="preserve"> accrue interest </w:t>
            </w:r>
            <w:r w:rsidR="001E2DC1">
              <w:t>1%/</w:t>
            </w:r>
            <w:r w:rsidR="007F66EE">
              <w:t>mo.</w:t>
            </w:r>
          </w:p>
          <w:p w14:paraId="1737126D" w14:textId="77777777" w:rsidR="001E2DC1" w:rsidRDefault="001E2DC1" w:rsidP="007619FF">
            <w:pPr>
              <w:spacing w:line="288" w:lineRule="auto"/>
              <w:ind w:left="360" w:right="-20"/>
            </w:pPr>
          </w:p>
          <w:p w14:paraId="70E9CBCF" w14:textId="13F4C33D" w:rsidR="00890A72" w:rsidRDefault="001E2DC1" w:rsidP="00890A72">
            <w:pPr>
              <w:spacing w:line="288" w:lineRule="auto"/>
              <w:ind w:left="360" w:right="-20"/>
            </w:pPr>
            <w:r>
              <w:t>Collection Agency Contracts RCW 19.16.</w:t>
            </w:r>
            <w:r w:rsidR="00E51334">
              <w:t>500 – some state requirements supplanted by federal rules</w:t>
            </w:r>
            <w:r w:rsidR="00F61F7B">
              <w:t xml:space="preserve">. </w:t>
            </w:r>
            <w:r w:rsidR="00E51334">
              <w:t>Set out maximum percentages, but federal law governs; An</w:t>
            </w:r>
            <w:r w:rsidR="00B901DB">
              <w:t>y fee agreement with a public agency is “presumptively reasonable” – must provide notice before referring to collections</w:t>
            </w:r>
            <w:r w:rsidR="00F40732">
              <w:t>, otherwise won’t be legally supported</w:t>
            </w:r>
            <w:r w:rsidR="00F61F7B">
              <w:t xml:space="preserve">. </w:t>
            </w:r>
            <w:r w:rsidR="00890A72">
              <w:t xml:space="preserve">34 CFR </w:t>
            </w:r>
            <w:r w:rsidR="00AA0DA2">
              <w:t>674.47 for fee percentage limits</w:t>
            </w:r>
            <w:r w:rsidR="00AA0DA2">
              <w:br/>
            </w:r>
            <w:r w:rsidR="00AA0DA2">
              <w:br/>
              <w:t>FDCPA – proh</w:t>
            </w:r>
            <w:r w:rsidR="00C07AA9">
              <w:t>i</w:t>
            </w:r>
            <w:r w:rsidR="00AA0DA2">
              <w:t xml:space="preserve">bits unfair practices, </w:t>
            </w:r>
            <w:r w:rsidR="00255CF0">
              <w:t>can</w:t>
            </w:r>
            <w:r w:rsidR="00AA0DA2">
              <w:t xml:space="preserve"> only collect </w:t>
            </w:r>
            <w:r w:rsidR="00B05048">
              <w:t>interest of collection costs expressly authorized in debtor agreement and permitted by law.</w:t>
            </w:r>
            <w:r w:rsidR="00C07AA9">
              <w:t xml:space="preserve"> Interest 43.17.240, collection costs</w:t>
            </w:r>
            <w:r w:rsidR="00C07AA9">
              <w:br/>
            </w:r>
            <w:r w:rsidR="00C07AA9">
              <w:br/>
            </w:r>
            <w:r w:rsidR="005A1A22">
              <w:t>Went over court cases.</w:t>
            </w:r>
            <w:r w:rsidR="0036704A">
              <w:t xml:space="preserve"> Bradley v. Franklin Collection Service 739 F.3d 606</w:t>
            </w:r>
            <w:r w:rsidR="00462F69">
              <w:t xml:space="preserve"> (11</w:t>
            </w:r>
            <w:r w:rsidR="00462F69" w:rsidRPr="00462F69">
              <w:rPr>
                <w:vertAlign w:val="superscript"/>
              </w:rPr>
              <w:t>th</w:t>
            </w:r>
            <w:r w:rsidR="00462F69">
              <w:t xml:space="preserve"> Circuit 20214</w:t>
            </w:r>
            <w:r w:rsidR="004E132B">
              <w:t>). Being</w:t>
            </w:r>
            <w:r w:rsidR="00487064">
              <w:t xml:space="preserve"> accurate with info provided to </w:t>
            </w:r>
            <w:r w:rsidR="00255CF0">
              <w:t>students</w:t>
            </w:r>
            <w:r w:rsidR="00487064">
              <w:t xml:space="preserve"> is paramount.</w:t>
            </w:r>
          </w:p>
          <w:p w14:paraId="5526FC0E" w14:textId="43462A21" w:rsidR="00F40732" w:rsidRDefault="004174A1" w:rsidP="007619FF">
            <w:pPr>
              <w:spacing w:line="288" w:lineRule="auto"/>
              <w:ind w:left="360" w:right="-20"/>
            </w:pPr>
            <w:r>
              <w:br/>
              <w:t xml:space="preserve">Student Financial Responsibility Agreement – Payment of fees/promise to </w:t>
            </w:r>
            <w:r>
              <w:lastRenderedPageBreak/>
              <w:t>pay, delinquent account/collections, communication/billing methods, must have their signature</w:t>
            </w:r>
            <w:r w:rsidR="0003487F">
              <w:t xml:space="preserve"> – have legal review (AAG for your college)</w:t>
            </w:r>
            <w:r w:rsidR="00F61F7B">
              <w:t xml:space="preserve">. </w:t>
            </w:r>
            <w:r w:rsidR="0003487F">
              <w:t>Reviewed sample provisions</w:t>
            </w:r>
            <w:r w:rsidR="00F61F7B">
              <w:t xml:space="preserve">. </w:t>
            </w:r>
            <w:r w:rsidR="004F4509">
              <w:t xml:space="preserve">Adding </w:t>
            </w:r>
            <w:r w:rsidR="00DE3DD4">
              <w:t>“to the greatest extent required by law” addresses some Fed considerations</w:t>
            </w:r>
            <w:r w:rsidR="00244459">
              <w:t>.</w:t>
            </w:r>
            <w:r w:rsidR="00130047">
              <w:br/>
            </w:r>
            <w:r w:rsidR="00130047">
              <w:br/>
              <w:t xml:space="preserve">Must have student signed agreement, College must be able to retain and authenticate by signature and date, </w:t>
            </w:r>
            <w:r w:rsidR="00691C93">
              <w:t>including</w:t>
            </w:r>
            <w:r w:rsidR="00130047">
              <w:t xml:space="preserve"> </w:t>
            </w:r>
            <w:r w:rsidR="00691C93">
              <w:t>electronic signatures/documents.</w:t>
            </w:r>
          </w:p>
          <w:p w14:paraId="4F3D9B40" w14:textId="77777777" w:rsidR="00130047" w:rsidRDefault="00130047" w:rsidP="007619FF">
            <w:pPr>
              <w:spacing w:line="288" w:lineRule="auto"/>
              <w:ind w:left="360" w:right="-20"/>
            </w:pPr>
          </w:p>
          <w:p w14:paraId="538C969F" w14:textId="3FB45003" w:rsidR="00130047" w:rsidRDefault="00130047" w:rsidP="007619FF">
            <w:pPr>
              <w:spacing w:line="288" w:lineRule="auto"/>
              <w:ind w:left="360" w:right="-20"/>
            </w:pPr>
            <w:r>
              <w:t xml:space="preserve">28B.10.293 recently revised, can’t withhold transcripts for debt collections, and </w:t>
            </w:r>
            <w:r w:rsidR="00255CF0">
              <w:t>limit’s</w:t>
            </w:r>
            <w:r>
              <w:t xml:space="preserve"> ability to withhold registration privileges</w:t>
            </w:r>
            <w:r w:rsidR="00691C93">
              <w:t xml:space="preserve"> (requires student notice)</w:t>
            </w:r>
          </w:p>
          <w:p w14:paraId="6278882F" w14:textId="7CE5688A" w:rsidR="003136EC" w:rsidRDefault="003136EC" w:rsidP="007619FF">
            <w:pPr>
              <w:spacing w:line="288" w:lineRule="auto"/>
              <w:ind w:left="360" w:right="-20"/>
            </w:pPr>
            <w:r>
              <w:t xml:space="preserve">SBCTC 5.30.35 allows </w:t>
            </w:r>
            <w:r w:rsidR="00877680">
              <w:t xml:space="preserve">withholding registration for students with unpaid </w:t>
            </w:r>
            <w:r w:rsidR="00244459">
              <w:t>debt.</w:t>
            </w:r>
          </w:p>
          <w:p w14:paraId="2A803C5A" w14:textId="77777777" w:rsidR="00610F7B" w:rsidRDefault="00610F7B" w:rsidP="007619FF">
            <w:pPr>
              <w:spacing w:line="288" w:lineRule="auto"/>
              <w:ind w:left="360" w:right="-20"/>
            </w:pPr>
          </w:p>
          <w:p w14:paraId="38FD25A6" w14:textId="701C3CEB" w:rsidR="00610F7B" w:rsidRDefault="00610F7B" w:rsidP="007619FF">
            <w:pPr>
              <w:spacing w:line="288" w:lineRule="auto"/>
              <w:ind w:left="360" w:right="-20"/>
            </w:pPr>
            <w:r>
              <w:t xml:space="preserve">Effective 7/1/24, </w:t>
            </w:r>
            <w:r w:rsidR="00255CF0">
              <w:t>the Fed</w:t>
            </w:r>
            <w:r>
              <w:t xml:space="preserve"> gov’t has followed suit regarding transcripts</w:t>
            </w:r>
            <w:r w:rsidR="00244459">
              <w:t xml:space="preserve">, must release if received federal grants, </w:t>
            </w:r>
            <w:r w:rsidR="00F61F7B">
              <w:t>loans,</w:t>
            </w:r>
            <w:r w:rsidR="00244459">
              <w:t xml:space="preserve"> or work study funds</w:t>
            </w:r>
            <w:r w:rsidR="00C8062B">
              <w:t xml:space="preserve">. </w:t>
            </w:r>
            <w:r w:rsidR="00244459">
              <w:t>Colleges can withhold credits from a transcript if student still owes money for that quarter/semester</w:t>
            </w:r>
            <w:r w:rsidR="00244459">
              <w:br/>
            </w:r>
            <w:r w:rsidR="00244459">
              <w:br/>
              <w:t xml:space="preserve">Bankruptcy </w:t>
            </w:r>
            <w:r w:rsidR="00D87565">
              <w:t>–</w:t>
            </w:r>
            <w:r w:rsidR="00244459">
              <w:t xml:space="preserve"> </w:t>
            </w:r>
            <w:r w:rsidR="00D87565">
              <w:t>purpose of code is to provide a “fresh start” for honest debtors and equitable treatment of creditors</w:t>
            </w:r>
            <w:r w:rsidR="00F61F7B">
              <w:t xml:space="preserve">. </w:t>
            </w:r>
            <w:r w:rsidR="00E76726">
              <w:t>3 types – Ch 7 (liquidation), 11 (reorg – corps), 13 (adj of debt).</w:t>
            </w:r>
          </w:p>
          <w:p w14:paraId="4F703C5F" w14:textId="77777777" w:rsidR="00BF4CA1" w:rsidRDefault="00BF4CA1" w:rsidP="007619FF">
            <w:pPr>
              <w:spacing w:line="288" w:lineRule="auto"/>
              <w:ind w:left="360" w:right="-20"/>
            </w:pPr>
          </w:p>
          <w:p w14:paraId="7A314C52" w14:textId="6C142AA5" w:rsidR="00BF4CA1" w:rsidRDefault="00BF4CA1" w:rsidP="007619FF">
            <w:pPr>
              <w:spacing w:line="288" w:lineRule="auto"/>
              <w:ind w:left="360" w:right="-20"/>
            </w:pPr>
            <w:r>
              <w:t>Ch 7 – liquidates debtor’s nonexempt assets</w:t>
            </w:r>
            <w:r w:rsidR="00F61F7B">
              <w:t xml:space="preserve">. </w:t>
            </w:r>
            <w:r w:rsidR="00260456">
              <w:t>Acts as a permanent injunction against collection of all dischargeable pre-petition debts.</w:t>
            </w:r>
          </w:p>
          <w:p w14:paraId="3A575DA5" w14:textId="77777777" w:rsidR="00260456" w:rsidRDefault="00260456" w:rsidP="007619FF">
            <w:pPr>
              <w:spacing w:line="288" w:lineRule="auto"/>
              <w:ind w:left="360" w:right="-20"/>
            </w:pPr>
          </w:p>
          <w:p w14:paraId="10554EF0" w14:textId="230C6DB7" w:rsidR="00260456" w:rsidRDefault="00260456" w:rsidP="007619FF">
            <w:pPr>
              <w:spacing w:line="288" w:lineRule="auto"/>
              <w:ind w:left="360" w:right="-20"/>
            </w:pPr>
            <w:r>
              <w:t>Ch 11 – debtor retains assets while repaying creditors</w:t>
            </w:r>
            <w:r w:rsidR="003C17D1">
              <w:t xml:space="preserve"> under court-confirmed wage earners plan</w:t>
            </w:r>
            <w:r w:rsidR="00F61F7B">
              <w:t xml:space="preserve">. </w:t>
            </w:r>
            <w:r w:rsidR="003C17D1">
              <w:t>Applied to persons with regular income, discharges within 3-5 (repayment plan length).</w:t>
            </w:r>
          </w:p>
          <w:p w14:paraId="341091E6" w14:textId="77777777" w:rsidR="00AC391C" w:rsidRDefault="00AC391C" w:rsidP="007619FF">
            <w:pPr>
              <w:spacing w:line="288" w:lineRule="auto"/>
              <w:ind w:left="360" w:right="-20"/>
            </w:pPr>
          </w:p>
          <w:p w14:paraId="141E2DD0" w14:textId="31A64C26" w:rsidR="00AC391C" w:rsidRDefault="006739C8" w:rsidP="007619FF">
            <w:pPr>
              <w:spacing w:line="288" w:lineRule="auto"/>
              <w:ind w:left="360" w:right="-20"/>
            </w:pPr>
            <w:r>
              <w:t xml:space="preserve">Automatic stay - </w:t>
            </w:r>
            <w:r w:rsidR="00AC391C">
              <w:t xml:space="preserve">Once notified of bankruptcy proceeding, </w:t>
            </w:r>
            <w:r w:rsidR="00255CF0">
              <w:t>it prohibits</w:t>
            </w:r>
            <w:r w:rsidR="00AC391C">
              <w:t xml:space="preserve"> </w:t>
            </w:r>
            <w:r w:rsidR="00AC391C" w:rsidRPr="00003A20">
              <w:rPr>
                <w:u w:val="single"/>
              </w:rPr>
              <w:t>any action</w:t>
            </w:r>
            <w:r w:rsidR="00AC391C">
              <w:t xml:space="preserve"> to collect pre-petition </w:t>
            </w:r>
            <w:r w:rsidR="00003A20">
              <w:t xml:space="preserve">debt once petition is </w:t>
            </w:r>
            <w:r w:rsidR="001641E1">
              <w:t>filed</w:t>
            </w:r>
            <w:r w:rsidR="00F61F7B">
              <w:t xml:space="preserve">. </w:t>
            </w:r>
            <w:r w:rsidR="000428DC">
              <w:t xml:space="preserve">Formal notice not required (student could call and inform); </w:t>
            </w:r>
            <w:r w:rsidR="00DA3E13">
              <w:t>penalties imposed if found in willful violation, including damages, attorney fees, and punitive damages</w:t>
            </w:r>
            <w:r w:rsidR="00F61F7B">
              <w:t xml:space="preserve">. </w:t>
            </w:r>
            <w:r w:rsidR="00BE4759">
              <w:t>Tip – have a process for tracking/monitoring bankruptcy status.</w:t>
            </w:r>
          </w:p>
          <w:p w14:paraId="2372C443" w14:textId="77777777" w:rsidR="00FE6DDF" w:rsidRDefault="00FE6DDF" w:rsidP="007619FF">
            <w:pPr>
              <w:spacing w:line="288" w:lineRule="auto"/>
              <w:ind w:left="360" w:right="-20"/>
            </w:pPr>
          </w:p>
          <w:p w14:paraId="3754ACA9" w14:textId="728F6033" w:rsidR="00FE6DDF" w:rsidRDefault="00FE6DDF" w:rsidP="007619FF">
            <w:pPr>
              <w:spacing w:line="288" w:lineRule="auto"/>
              <w:ind w:left="360" w:right="-20"/>
            </w:pPr>
            <w:r>
              <w:t xml:space="preserve">Automatic stay applies to </w:t>
            </w:r>
            <w:r w:rsidRPr="006739C8">
              <w:rPr>
                <w:u w:val="single"/>
              </w:rPr>
              <w:t>all</w:t>
            </w:r>
            <w:r>
              <w:t xml:space="preserve"> student debt, until </w:t>
            </w:r>
            <w:r w:rsidR="006739C8">
              <w:t>the court</w:t>
            </w:r>
            <w:r>
              <w:t xml:space="preserve"> determines what is dischargeable/non-dischargeable</w:t>
            </w:r>
            <w:r w:rsidR="00F61F7B">
              <w:t xml:space="preserve">. </w:t>
            </w:r>
            <w:r w:rsidR="006739C8">
              <w:t xml:space="preserve">If </w:t>
            </w:r>
            <w:r w:rsidR="007F66EE">
              <w:t>the case is</w:t>
            </w:r>
            <w:r w:rsidR="006739C8">
              <w:t xml:space="preserve"> close</w:t>
            </w:r>
            <w:r w:rsidR="001641E1">
              <w:t>d</w:t>
            </w:r>
            <w:r w:rsidR="006739C8">
              <w:t>, need to determine whether debt has been discharged.</w:t>
            </w:r>
          </w:p>
          <w:p w14:paraId="6B10ABDB" w14:textId="77777777" w:rsidR="006739C8" w:rsidRDefault="006739C8" w:rsidP="007619FF">
            <w:pPr>
              <w:spacing w:line="288" w:lineRule="auto"/>
              <w:ind w:left="360" w:right="-20"/>
            </w:pPr>
          </w:p>
          <w:p w14:paraId="45C58231" w14:textId="02D1B3BD" w:rsidR="006739C8" w:rsidRDefault="006739C8" w:rsidP="007619FF">
            <w:pPr>
              <w:spacing w:line="288" w:lineRule="auto"/>
              <w:ind w:left="360" w:right="-20"/>
            </w:pPr>
            <w:r>
              <w:t>Ch 7 may proceed against a co-debtor/co-signer without violating aut</w:t>
            </w:r>
            <w:r w:rsidR="00B56CD7">
              <w:t>o</w:t>
            </w:r>
            <w:r>
              <w:t>matic stay, but Ch 13 do</w:t>
            </w:r>
            <w:r w:rsidR="00B56CD7">
              <w:t xml:space="preserve">es </w:t>
            </w:r>
            <w:r w:rsidR="001641E1">
              <w:t>prohibit.</w:t>
            </w:r>
          </w:p>
          <w:p w14:paraId="09A2CF2C" w14:textId="77777777" w:rsidR="00D137ED" w:rsidRDefault="00D137ED" w:rsidP="007619FF">
            <w:pPr>
              <w:spacing w:line="288" w:lineRule="auto"/>
              <w:ind w:left="360" w:right="-20"/>
            </w:pPr>
          </w:p>
          <w:p w14:paraId="67D95C8B" w14:textId="278C4A03" w:rsidR="00D137ED" w:rsidRDefault="00D137ED" w:rsidP="007619FF">
            <w:pPr>
              <w:spacing w:line="288" w:lineRule="auto"/>
              <w:ind w:left="360" w:right="-20"/>
            </w:pPr>
            <w:r>
              <w:t xml:space="preserve">Dischargeable vs. </w:t>
            </w:r>
            <w:r w:rsidR="00255CF0">
              <w:t>non-dischargeable</w:t>
            </w:r>
          </w:p>
          <w:p w14:paraId="1B2DE015" w14:textId="1FCCC962" w:rsidR="00D137ED" w:rsidRDefault="00D137ED" w:rsidP="007619FF">
            <w:pPr>
              <w:spacing w:line="288" w:lineRule="auto"/>
              <w:ind w:left="360" w:right="-20"/>
            </w:pPr>
            <w:r>
              <w:lastRenderedPageBreak/>
              <w:t>Bankruptcy court has lots of forms</w:t>
            </w:r>
            <w:r w:rsidR="00F61F7B">
              <w:t xml:space="preserve">. </w:t>
            </w:r>
            <w:r w:rsidR="00A47512">
              <w:t>File Proof of Claim for, esp. if have dischargeable deb</w:t>
            </w:r>
            <w:r w:rsidR="00EA46BC">
              <w:t>t to make sure can get a portion of funds</w:t>
            </w:r>
            <w:r w:rsidR="00F61F7B">
              <w:t xml:space="preserve">. </w:t>
            </w:r>
            <w:r w:rsidR="00EA46BC">
              <w:t xml:space="preserve">Include amount owed, interest, and fees incurred to collect and file </w:t>
            </w:r>
            <w:r w:rsidR="00A810E0">
              <w:t>within</w:t>
            </w:r>
            <w:r w:rsidR="00EA46BC">
              <w:t xml:space="preserve"> 180 days after first date of meeting of creditors</w:t>
            </w:r>
            <w:r w:rsidR="00F61F7B">
              <w:t xml:space="preserve">. </w:t>
            </w:r>
            <w:r w:rsidR="00A810E0">
              <w:t>Could get help from your AAG.</w:t>
            </w:r>
          </w:p>
          <w:p w14:paraId="237E23AB" w14:textId="77777777" w:rsidR="005C6804" w:rsidRDefault="005C6804" w:rsidP="007619FF">
            <w:pPr>
              <w:spacing w:line="288" w:lineRule="auto"/>
              <w:ind w:left="360" w:right="-20"/>
            </w:pPr>
          </w:p>
          <w:p w14:paraId="497711A1" w14:textId="2390C299" w:rsidR="005C6804" w:rsidRDefault="002501DC" w:rsidP="007619FF">
            <w:pPr>
              <w:spacing w:line="288" w:lineRule="auto"/>
              <w:ind w:left="360" w:right="-20"/>
            </w:pPr>
            <w:r>
              <w:t xml:space="preserve">Dischargeable – Unpaid tuition, housing, dining, mandatory student fees, </w:t>
            </w:r>
            <w:r w:rsidR="004A2539">
              <w:t>childcare</w:t>
            </w:r>
            <w:r>
              <w:t xml:space="preserve"> fees, parking fees, bookstore charges, library late fees.</w:t>
            </w:r>
          </w:p>
          <w:p w14:paraId="38DBBCA1" w14:textId="77777777" w:rsidR="00BC4CAF" w:rsidRDefault="00BC4CAF" w:rsidP="007619FF">
            <w:pPr>
              <w:spacing w:line="288" w:lineRule="auto"/>
              <w:ind w:left="360" w:right="-20"/>
            </w:pPr>
          </w:p>
          <w:p w14:paraId="4FB816AC" w14:textId="269BBC64" w:rsidR="00BC4CAF" w:rsidRDefault="00BC4CAF" w:rsidP="007619FF">
            <w:pPr>
              <w:spacing w:line="288" w:lineRule="auto"/>
              <w:ind w:left="360" w:right="-20"/>
            </w:pPr>
            <w:r>
              <w:t>Non</w:t>
            </w:r>
            <w:r w:rsidR="00FA755B">
              <w:t xml:space="preserve">-dischargeable – </w:t>
            </w:r>
            <w:r w:rsidR="00685B1B">
              <w:t xml:space="preserve">dischargeable </w:t>
            </w:r>
            <w:r w:rsidR="00FA755B">
              <w:t xml:space="preserve">unless repayment require poses undue hardship, applies to both chapters, </w:t>
            </w:r>
            <w:r w:rsidR="00685B1B">
              <w:t xml:space="preserve">student debtor must file an undue hardship </w:t>
            </w:r>
            <w:r w:rsidR="004A2539">
              <w:t>proceeding.</w:t>
            </w:r>
          </w:p>
          <w:p w14:paraId="204389D3" w14:textId="77777777" w:rsidR="003C3867" w:rsidRDefault="003C3867" w:rsidP="007619FF">
            <w:pPr>
              <w:spacing w:line="288" w:lineRule="auto"/>
              <w:ind w:left="360" w:right="-20"/>
            </w:pPr>
          </w:p>
          <w:p w14:paraId="0EC3702A" w14:textId="77777777" w:rsidR="003C3867" w:rsidRDefault="003C3867" w:rsidP="007619FF">
            <w:pPr>
              <w:spacing w:line="288" w:lineRule="auto"/>
              <w:ind w:left="360" w:right="-20"/>
            </w:pPr>
            <w:r>
              <w:t>Educational benefit overpayment or loan</w:t>
            </w:r>
            <w:r w:rsidR="00D20033">
              <w:t xml:space="preserve"> made, insured, or guaranteed by government</w:t>
            </w:r>
            <w:r w:rsidR="00963DF4">
              <w:t xml:space="preserve"> or by a program funded by government or nonprofit agency.</w:t>
            </w:r>
          </w:p>
          <w:p w14:paraId="2A4154C9" w14:textId="7F098193" w:rsidR="00963DF4" w:rsidRDefault="004A2539" w:rsidP="007619FF">
            <w:pPr>
              <w:spacing w:line="288" w:lineRule="auto"/>
              <w:ind w:left="360" w:right="-20"/>
            </w:pPr>
            <w:r>
              <w:t>Obligation</w:t>
            </w:r>
            <w:r w:rsidR="00963DF4">
              <w:t xml:space="preserve"> to repay funds received a</w:t>
            </w:r>
            <w:r>
              <w:t xml:space="preserve">s an educational benefit, </w:t>
            </w:r>
            <w:r w:rsidR="00F61F7B">
              <w:t>scholarship,</w:t>
            </w:r>
            <w:r>
              <w:t xml:space="preserve"> or stipend</w:t>
            </w:r>
            <w:r>
              <w:br/>
              <w:t xml:space="preserve">A “qualified education loan” under the </w:t>
            </w:r>
            <w:r w:rsidR="00577C0A">
              <w:t>IRC.</w:t>
            </w:r>
          </w:p>
          <w:p w14:paraId="6F16D386" w14:textId="77777777" w:rsidR="001066DD" w:rsidRDefault="001066DD" w:rsidP="007619FF">
            <w:pPr>
              <w:spacing w:line="288" w:lineRule="auto"/>
              <w:ind w:left="360" w:right="-20"/>
            </w:pPr>
          </w:p>
          <w:p w14:paraId="4B4FB620" w14:textId="07825755" w:rsidR="001C543C" w:rsidRDefault="001066DD" w:rsidP="001C543C">
            <w:pPr>
              <w:spacing w:line="288" w:lineRule="auto"/>
              <w:ind w:left="360" w:right="-20"/>
            </w:pPr>
            <w:r>
              <w:t xml:space="preserve">Undue hardship – debtor must file adversary proceeding, </w:t>
            </w:r>
            <w:r w:rsidR="00171411">
              <w:t>parents can claim if co-signers, parents can claim “claw back” or “preferential” tuition payments.</w:t>
            </w:r>
            <w:r w:rsidR="001C543C">
              <w:br/>
            </w:r>
            <w:r w:rsidR="001C543C">
              <w:br/>
              <w:t>DOE Guidance (DCL: GEN 23-13)</w:t>
            </w:r>
            <w:r w:rsidR="0095363C">
              <w:t xml:space="preserve"> applies to ed institutions under FFELP and Perkins loan programs</w:t>
            </w:r>
            <w:r w:rsidR="00F61F7B">
              <w:t xml:space="preserve">. </w:t>
            </w:r>
            <w:r w:rsidR="0095363C">
              <w:t xml:space="preserve">Evaluate undue hardship claim, stipulate </w:t>
            </w:r>
            <w:r w:rsidR="00C8062B">
              <w:t>facts,</w:t>
            </w:r>
            <w:r w:rsidR="0095363C">
              <w:t xml:space="preserve"> and recommend full or partial discharge, or if no undue hardship </w:t>
            </w:r>
            <w:r w:rsidR="00577C0A">
              <w:t xml:space="preserve">costs </w:t>
            </w:r>
            <w:r w:rsidR="0095363C">
              <w:t xml:space="preserve">would </w:t>
            </w:r>
            <w:r w:rsidR="00A71658">
              <w:t xml:space="preserve">be more than </w:t>
            </w:r>
            <w:r w:rsidR="0095363C">
              <w:t>costs of defending exceed costs owed.</w:t>
            </w:r>
            <w:r w:rsidR="0095363C">
              <w:br/>
            </w:r>
          </w:p>
          <w:p w14:paraId="70B1776C" w14:textId="7F26485A" w:rsidR="002F65E6" w:rsidRPr="007619FF" w:rsidRDefault="0095363C" w:rsidP="00B640AC">
            <w:pPr>
              <w:spacing w:line="288" w:lineRule="auto"/>
              <w:ind w:left="360" w:right="-20"/>
            </w:pPr>
            <w:r>
              <w:t>Three-part test</w:t>
            </w:r>
            <w:r w:rsidR="00F95411">
              <w:t xml:space="preserve"> – clear, transparent, and consistent expectations for discharge (borrowers understand w</w:t>
            </w:r>
            <w:r w:rsidR="00F64947">
              <w:t xml:space="preserve">ithout representation), reduce </w:t>
            </w:r>
            <w:r w:rsidR="002F65E6">
              <w:t>borrowers’</w:t>
            </w:r>
            <w:r w:rsidR="00F64947">
              <w:t xml:space="preserve"> burden in pursuing </w:t>
            </w:r>
            <w:r w:rsidR="005956A7">
              <w:t xml:space="preserve">hardship proceeding by simplifying fact gathering, </w:t>
            </w:r>
            <w:r w:rsidR="008B46AB">
              <w:t>increase # of cases holder stipulates facts</w:t>
            </w:r>
            <w:r w:rsidR="002F65E6">
              <w:t>,</w:t>
            </w:r>
          </w:p>
        </w:tc>
      </w:tr>
      <w:bookmarkEnd w:id="0"/>
      <w:tr w:rsidR="00A9430D" w:rsidRPr="00352DB7" w14:paraId="53758426" w14:textId="77777777" w:rsidTr="003A09B2">
        <w:trPr>
          <w:trHeight w:val="341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3E94" w14:textId="77777777" w:rsidR="003A09B2" w:rsidRPr="00352DB7" w:rsidRDefault="00D5517C" w:rsidP="003A09B2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lastRenderedPageBreak/>
              <w:t>12</w:t>
            </w:r>
            <w:r w:rsidR="006B6185" w:rsidRPr="00352DB7">
              <w:rPr>
                <w:b/>
              </w:rPr>
              <w:t>:00pm</w:t>
            </w:r>
            <w:r w:rsidR="003A09B2" w:rsidRPr="00352DB7">
              <w:rPr>
                <w:b/>
              </w:rPr>
              <w:t xml:space="preserve"> – 1:00pm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7B8B" w14:textId="77777777" w:rsidR="00A9430D" w:rsidRPr="00352DB7" w:rsidRDefault="00FF0DEC">
            <w:pPr>
              <w:spacing w:line="288" w:lineRule="auto"/>
              <w:ind w:right="-20"/>
            </w:pPr>
            <w:r w:rsidRPr="00352DB7">
              <w:t xml:space="preserve">Lunch </w:t>
            </w:r>
          </w:p>
        </w:tc>
      </w:tr>
      <w:tr w:rsidR="00A9430D" w:rsidRPr="00352DB7" w14:paraId="4E333553" w14:textId="77777777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7AFF" w14:textId="77777777" w:rsidR="00A9430D" w:rsidRPr="00352DB7" w:rsidRDefault="00C92051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1:00pm</w:t>
            </w:r>
            <w:r w:rsidR="003A09B2" w:rsidRPr="00352DB7">
              <w:rPr>
                <w:b/>
              </w:rPr>
              <w:t xml:space="preserve"> – </w:t>
            </w:r>
            <w:r w:rsidR="002C3B49" w:rsidRPr="00352DB7">
              <w:rPr>
                <w:b/>
              </w:rPr>
              <w:t>2:</w:t>
            </w:r>
            <w:r w:rsidR="003A09B2" w:rsidRPr="00352DB7">
              <w:rPr>
                <w:b/>
              </w:rPr>
              <w:t xml:space="preserve">00pm 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5EE7" w14:textId="77777777" w:rsidR="00A84472" w:rsidRDefault="000A6E20" w:rsidP="00DE2401">
            <w:pPr>
              <w:spacing w:line="288" w:lineRule="auto"/>
              <w:ind w:right="-20"/>
            </w:pPr>
            <w:r>
              <w:t>Procurement Policy Changes</w:t>
            </w:r>
          </w:p>
          <w:p w14:paraId="5676FC2C" w14:textId="77777777" w:rsidR="000A6E20" w:rsidRDefault="000A6E20" w:rsidP="00A84472">
            <w:pPr>
              <w:pStyle w:val="ListParagraph"/>
              <w:numPr>
                <w:ilvl w:val="0"/>
                <w:numId w:val="21"/>
              </w:numPr>
              <w:spacing w:line="288" w:lineRule="auto"/>
              <w:ind w:right="-20"/>
            </w:pPr>
            <w:r>
              <w:t>Alex Kennison, DES</w:t>
            </w:r>
          </w:p>
          <w:p w14:paraId="5CE0C11C" w14:textId="77777777" w:rsidR="00B631BC" w:rsidRDefault="00B631BC" w:rsidP="00B631BC">
            <w:pPr>
              <w:spacing w:line="288" w:lineRule="auto"/>
              <w:ind w:right="-20"/>
            </w:pPr>
          </w:p>
          <w:p w14:paraId="48CFEA2D" w14:textId="135DC9DD" w:rsidR="00B631BC" w:rsidRDefault="00AF49E8" w:rsidP="00B631BC">
            <w:pPr>
              <w:spacing w:line="288" w:lineRule="auto"/>
              <w:ind w:left="360" w:right="-20"/>
            </w:pPr>
            <w:r>
              <w:t xml:space="preserve">Higher Ed has </w:t>
            </w:r>
            <w:r w:rsidR="00615A6B">
              <w:t>its</w:t>
            </w:r>
            <w:r>
              <w:t xml:space="preserve"> own authority to do procurement</w:t>
            </w:r>
            <w:r w:rsidR="00150C34">
              <w:t xml:space="preserve">; other state agencies all </w:t>
            </w:r>
            <w:r w:rsidR="001350C8">
              <w:t>must</w:t>
            </w:r>
            <w:r w:rsidR="00150C34">
              <w:t xml:space="preserve"> go through DES.</w:t>
            </w:r>
          </w:p>
          <w:p w14:paraId="1869D421" w14:textId="77777777" w:rsidR="00260341" w:rsidRDefault="00260341" w:rsidP="00B631BC">
            <w:pPr>
              <w:spacing w:line="288" w:lineRule="auto"/>
              <w:ind w:left="360" w:right="-20"/>
            </w:pPr>
          </w:p>
          <w:p w14:paraId="68F3C1F5" w14:textId="1AA5C9B7" w:rsidR="00260341" w:rsidRDefault="00260341" w:rsidP="00B631BC">
            <w:pPr>
              <w:spacing w:line="288" w:lineRule="auto"/>
              <w:ind w:left="360" w:right="-20"/>
            </w:pPr>
            <w:r>
              <w:t xml:space="preserve">Sourcewell, NAPSO, </w:t>
            </w:r>
            <w:r w:rsidR="002B3AEF">
              <w:t xml:space="preserve">MMCAP </w:t>
            </w:r>
            <w:r w:rsidR="00A96E51">
              <w:t>(C</w:t>
            </w:r>
            <w:r w:rsidR="002B3AEF">
              <w:t>o-ops</w:t>
            </w:r>
            <w:r w:rsidR="00A96E51">
              <w:t>) used by DES for state contracts</w:t>
            </w:r>
            <w:r w:rsidR="008C689D">
              <w:t xml:space="preserve"> as well as direct competitive </w:t>
            </w:r>
            <w:r w:rsidR="00852BF3">
              <w:t>solicitation.</w:t>
            </w:r>
          </w:p>
          <w:p w14:paraId="0613CC65" w14:textId="214E1D8D" w:rsidR="008C689D" w:rsidRDefault="008C689D" w:rsidP="00B631BC">
            <w:pPr>
              <w:spacing w:line="288" w:lineRule="auto"/>
              <w:ind w:left="360" w:right="-20"/>
            </w:pPr>
            <w:r>
              <w:t xml:space="preserve">Why? </w:t>
            </w:r>
            <w:r w:rsidR="00D304FD">
              <w:t>– leverage buying power, implement/enforce procurement priorities, save time/</w:t>
            </w:r>
            <w:r w:rsidR="00852BF3">
              <w:t>energy.</w:t>
            </w:r>
          </w:p>
          <w:p w14:paraId="2EECD858" w14:textId="7C17139F" w:rsidR="00565F20" w:rsidRDefault="000B7903" w:rsidP="00B631BC">
            <w:pPr>
              <w:spacing w:line="288" w:lineRule="auto"/>
              <w:ind w:left="360" w:right="-20"/>
            </w:pPr>
            <w:r>
              <w:t xml:space="preserve">Using fulfills </w:t>
            </w:r>
            <w:r w:rsidR="00085949">
              <w:t xml:space="preserve">competitive bidding </w:t>
            </w:r>
            <w:r w:rsidR="00A61998">
              <w:t>requirements.</w:t>
            </w:r>
          </w:p>
          <w:p w14:paraId="32D9919F" w14:textId="02603B36" w:rsidR="00565F20" w:rsidRDefault="00565F20" w:rsidP="00B631BC">
            <w:pPr>
              <w:spacing w:line="288" w:lineRule="auto"/>
              <w:ind w:left="360" w:right="-20"/>
            </w:pPr>
            <w:r>
              <w:lastRenderedPageBreak/>
              <w:t>Can use statewide contract but are not required</w:t>
            </w:r>
            <w:r w:rsidR="00C8062B">
              <w:t xml:space="preserve">. </w:t>
            </w:r>
            <w:r w:rsidR="004E3177">
              <w:t xml:space="preserve">Went over state </w:t>
            </w:r>
            <w:r w:rsidR="0019630A">
              <w:t>DES contract web site and how to use.</w:t>
            </w:r>
          </w:p>
          <w:p w14:paraId="24DF394D" w14:textId="77777777" w:rsidR="001350C8" w:rsidRDefault="001350C8" w:rsidP="00B631BC">
            <w:pPr>
              <w:spacing w:line="288" w:lineRule="auto"/>
              <w:ind w:left="360" w:right="-20"/>
            </w:pPr>
          </w:p>
          <w:p w14:paraId="2A0EE3BF" w14:textId="77777777" w:rsidR="001350C8" w:rsidRDefault="005D63D2" w:rsidP="00B631BC">
            <w:pPr>
              <w:spacing w:line="288" w:lineRule="auto"/>
              <w:ind w:left="360" w:right="-20"/>
            </w:pPr>
            <w:r>
              <w:t xml:space="preserve">DES Policy </w:t>
            </w:r>
            <w:r w:rsidR="001350C8">
              <w:t>Updates – Supplier Diversity Handbook, Sole Source Policy, Anti-Discrimination clauses, Access Equity (OMBWE), PCB Policy updat</w:t>
            </w:r>
            <w:r>
              <w:t>es</w:t>
            </w:r>
          </w:p>
          <w:p w14:paraId="7FFC62E8" w14:textId="77777777" w:rsidR="000A7BCE" w:rsidRDefault="000A7BCE" w:rsidP="00B631BC">
            <w:pPr>
              <w:spacing w:line="288" w:lineRule="auto"/>
              <w:ind w:left="360" w:right="-20"/>
            </w:pPr>
          </w:p>
          <w:p w14:paraId="38F5F134" w14:textId="2DC0AFDC" w:rsidR="000A7BCE" w:rsidRPr="00352DB7" w:rsidRDefault="000A7BCE" w:rsidP="00B631BC">
            <w:pPr>
              <w:spacing w:line="288" w:lineRule="auto"/>
              <w:ind w:left="360" w:right="-20"/>
            </w:pPr>
            <w:r>
              <w:t>If have sole source, need to follow DES policies, sole source is not specified in higher ed 28B</w:t>
            </w:r>
            <w:r w:rsidR="00924EEF">
              <w:t>.10</w:t>
            </w:r>
            <w:r>
              <w:t xml:space="preserve"> statutes</w:t>
            </w:r>
            <w:r w:rsidR="00EE1620">
              <w:t>.</w:t>
            </w:r>
          </w:p>
        </w:tc>
      </w:tr>
      <w:tr w:rsidR="00E95C22" w:rsidRPr="00352DB7" w14:paraId="5545DB12" w14:textId="77777777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9E66" w14:textId="77777777" w:rsidR="00E95C22" w:rsidRPr="00352DB7" w:rsidRDefault="00E95C22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lastRenderedPageBreak/>
              <w:t>2:00pm - 3:00pm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68272" w14:textId="77777777" w:rsidR="00E95C22" w:rsidRPr="00352DB7" w:rsidRDefault="00E95C22" w:rsidP="00E95C22">
            <w:pPr>
              <w:spacing w:line="288" w:lineRule="auto"/>
              <w:ind w:right="-20"/>
            </w:pPr>
            <w:r w:rsidRPr="00352DB7">
              <w:t>Sales &amp; Use Tax - DOR</w:t>
            </w:r>
          </w:p>
          <w:p w14:paraId="3B7755FC" w14:textId="77777777" w:rsidR="00E95C22" w:rsidRPr="00352DB7" w:rsidRDefault="00E95C22" w:rsidP="00E95C22">
            <w:pPr>
              <w:pStyle w:val="ListParagraph"/>
              <w:numPr>
                <w:ilvl w:val="0"/>
                <w:numId w:val="17"/>
              </w:numPr>
              <w:spacing w:line="288" w:lineRule="auto"/>
              <w:ind w:right="-20"/>
            </w:pPr>
            <w:r w:rsidRPr="00352DB7">
              <w:t>Joshua Basher, Tax Information Specialist</w:t>
            </w:r>
          </w:p>
          <w:p w14:paraId="6C2A8713" w14:textId="77777777" w:rsidR="00E95C22" w:rsidRPr="00352DB7" w:rsidRDefault="00E95C22" w:rsidP="00E95C22">
            <w:pPr>
              <w:pStyle w:val="ListParagraph"/>
              <w:numPr>
                <w:ilvl w:val="0"/>
                <w:numId w:val="17"/>
              </w:numPr>
              <w:spacing w:line="288" w:lineRule="auto"/>
              <w:ind w:right="-20"/>
            </w:pPr>
            <w:r w:rsidRPr="00352DB7">
              <w:t>Darlene Warner, Education Manager</w:t>
            </w:r>
          </w:p>
          <w:p w14:paraId="70076DE1" w14:textId="77777777" w:rsidR="00E95C22" w:rsidRDefault="00E95C22" w:rsidP="00E95C22">
            <w:pPr>
              <w:pStyle w:val="ListParagraph"/>
              <w:numPr>
                <w:ilvl w:val="0"/>
                <w:numId w:val="17"/>
              </w:numPr>
              <w:spacing w:line="288" w:lineRule="auto"/>
              <w:ind w:right="-20"/>
            </w:pPr>
            <w:r w:rsidRPr="00352DB7">
              <w:t>Adam Halliday, Tax Policy Specialist</w:t>
            </w:r>
          </w:p>
          <w:p w14:paraId="2AB6AC05" w14:textId="77777777" w:rsidR="00CD7166" w:rsidRDefault="00CD7166" w:rsidP="00CD7166">
            <w:pPr>
              <w:spacing w:line="288" w:lineRule="auto"/>
              <w:ind w:right="-20"/>
            </w:pPr>
          </w:p>
          <w:p w14:paraId="5B837224" w14:textId="77777777" w:rsidR="00CD7166" w:rsidRDefault="00C46623" w:rsidP="00CD7166">
            <w:pPr>
              <w:spacing w:line="288" w:lineRule="auto"/>
              <w:ind w:left="360" w:right="-20"/>
            </w:pPr>
            <w:r>
              <w:t>IT Products and Taxa</w:t>
            </w:r>
            <w:r w:rsidR="00A5350C">
              <w:t>tion</w:t>
            </w:r>
          </w:p>
          <w:p w14:paraId="23A71C81" w14:textId="42DB0E18" w:rsidR="00A5350C" w:rsidRDefault="00A5350C" w:rsidP="00CD7166">
            <w:pPr>
              <w:spacing w:line="288" w:lineRule="auto"/>
              <w:ind w:left="360" w:right="-20"/>
            </w:pPr>
            <w:r>
              <w:t>Hardware – Servers, cables, towers, motherboards (physical, tangible equipment)</w:t>
            </w:r>
            <w:r w:rsidR="00CF4887">
              <w:t xml:space="preserve">; subject to sales and use </w:t>
            </w:r>
            <w:r w:rsidR="00EE7C4B">
              <w:t>tax.</w:t>
            </w:r>
          </w:p>
          <w:p w14:paraId="2E5EF2AA" w14:textId="13C1340E" w:rsidR="00CF4887" w:rsidRDefault="00D36965" w:rsidP="00CD7166">
            <w:pPr>
              <w:spacing w:line="288" w:lineRule="auto"/>
              <w:ind w:left="360" w:right="-20"/>
            </w:pPr>
            <w:r>
              <w:t xml:space="preserve">Installation, maintenance, </w:t>
            </w:r>
            <w:r w:rsidR="00C8062B">
              <w:t>repair,</w:t>
            </w:r>
            <w:r>
              <w:t xml:space="preserve"> and extended warranties also subject to tax</w:t>
            </w:r>
          </w:p>
          <w:p w14:paraId="33CF33D6" w14:textId="77777777" w:rsidR="006E74FC" w:rsidRDefault="006E74FC" w:rsidP="00CD7166">
            <w:pPr>
              <w:spacing w:line="288" w:lineRule="auto"/>
              <w:ind w:left="360" w:right="-20"/>
            </w:pPr>
          </w:p>
          <w:p w14:paraId="304C1A3E" w14:textId="1436921C" w:rsidR="006E74FC" w:rsidRDefault="006E74FC" w:rsidP="00CD7166">
            <w:pPr>
              <w:spacing w:line="288" w:lineRule="auto"/>
              <w:ind w:left="360" w:right="-20"/>
            </w:pPr>
            <w:r>
              <w:t>Software – Data or programs used to operate computers</w:t>
            </w:r>
            <w:r w:rsidR="00C8062B">
              <w:t xml:space="preserve">. </w:t>
            </w:r>
            <w:r>
              <w:t>Pre-written and custom</w:t>
            </w:r>
            <w:r w:rsidR="009B3E03">
              <w:t>, routine installation of pre-written, updates, upgrades, patches, keys, and maintenance agreements for pre-written software</w:t>
            </w:r>
            <w:r w:rsidR="009B3E03">
              <w:br/>
            </w:r>
            <w:r w:rsidR="009B3E03">
              <w:br/>
              <w:t>Custom computer software and customization of software not subject to tax.</w:t>
            </w:r>
          </w:p>
          <w:p w14:paraId="397C4178" w14:textId="77777777" w:rsidR="009B3E03" w:rsidRDefault="009B3E03" w:rsidP="00CD7166">
            <w:pPr>
              <w:spacing w:line="288" w:lineRule="auto"/>
              <w:ind w:left="360" w:right="-20"/>
            </w:pPr>
          </w:p>
          <w:p w14:paraId="41F615CB" w14:textId="77777777" w:rsidR="001D6633" w:rsidRDefault="009B3E03" w:rsidP="00B22383">
            <w:pPr>
              <w:spacing w:line="288" w:lineRule="auto"/>
              <w:ind w:left="360" w:right="-20"/>
            </w:pPr>
            <w:r>
              <w:t xml:space="preserve">Digital products – </w:t>
            </w:r>
            <w:r w:rsidR="001D6633">
              <w:t xml:space="preserve">Transferred electronically: </w:t>
            </w:r>
            <w:r>
              <w:t>digital goods (movies/music)</w:t>
            </w:r>
            <w:r w:rsidR="00D8696D">
              <w:t>, digital automated services (DAS)</w:t>
            </w:r>
          </w:p>
          <w:p w14:paraId="4CA1BC94" w14:textId="07909480" w:rsidR="008D3DA6" w:rsidRDefault="00B22383" w:rsidP="008D3DA6">
            <w:pPr>
              <w:spacing w:line="288" w:lineRule="auto"/>
              <w:ind w:left="360" w:right="-20"/>
            </w:pPr>
            <w:r>
              <w:t xml:space="preserve">Does not include personal/professional service involving application of human effort (internet access, computer software, remote access software, or RAS (remote access </w:t>
            </w:r>
            <w:r w:rsidR="0054288A">
              <w:t>software</w:t>
            </w:r>
            <w:r>
              <w:t>)</w:t>
            </w:r>
            <w:r w:rsidR="00C8062B">
              <w:t xml:space="preserve">. </w:t>
            </w:r>
            <w:r w:rsidR="008D3DA6">
              <w:t>R</w:t>
            </w:r>
            <w:r w:rsidR="002729A1">
              <w:t>AS is taxable.</w:t>
            </w:r>
          </w:p>
          <w:p w14:paraId="03D22EE7" w14:textId="77777777" w:rsidR="008D3DA6" w:rsidRDefault="008D3DA6" w:rsidP="008D3DA6">
            <w:pPr>
              <w:spacing w:line="288" w:lineRule="auto"/>
              <w:ind w:left="360" w:right="-20"/>
            </w:pPr>
          </w:p>
          <w:p w14:paraId="368CDEA3" w14:textId="079DCAF2" w:rsidR="002729A1" w:rsidRPr="00352DB7" w:rsidRDefault="008D3DA6" w:rsidP="008D3DA6">
            <w:pPr>
              <w:spacing w:line="288" w:lineRule="auto"/>
              <w:ind w:left="360" w:right="-20"/>
            </w:pPr>
            <w:r>
              <w:t>D</w:t>
            </w:r>
            <w:r w:rsidR="002729A1">
              <w:t>AS is a Digital Automated S</w:t>
            </w:r>
            <w:r w:rsidR="009D68FF">
              <w:t>ervice</w:t>
            </w:r>
            <w:r w:rsidR="007363F7">
              <w:t xml:space="preserve">s – service transferred </w:t>
            </w:r>
            <w:r w:rsidR="005550F5">
              <w:t>electronically</w:t>
            </w:r>
            <w:r w:rsidR="007363F7">
              <w:t xml:space="preserve"> that uses one or more software applications</w:t>
            </w:r>
            <w:r w:rsidR="00C8062B">
              <w:t xml:space="preserve">. </w:t>
            </w:r>
            <w:r w:rsidR="00A81920">
              <w:t>Does not involve human effort.</w:t>
            </w:r>
          </w:p>
        </w:tc>
      </w:tr>
    </w:tbl>
    <w:tbl>
      <w:tblPr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3A09B2" w:rsidRPr="00352DB7" w14:paraId="651A634F" w14:textId="77777777" w:rsidTr="003A09B2">
        <w:trPr>
          <w:trHeight w:val="413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22CB" w14:textId="77777777" w:rsidR="003A09B2" w:rsidRPr="00352DB7" w:rsidRDefault="00E95C22" w:rsidP="00780302">
            <w:pPr>
              <w:spacing w:line="288" w:lineRule="auto"/>
              <w:ind w:left="200" w:right="-20"/>
              <w:rPr>
                <w:b/>
              </w:rPr>
            </w:pPr>
            <w:bookmarkStart w:id="1" w:name="_Hlk162617349"/>
            <w:r w:rsidRPr="00352DB7">
              <w:rPr>
                <w:b/>
              </w:rPr>
              <w:t>3</w:t>
            </w:r>
            <w:r w:rsidR="003A09B2" w:rsidRPr="00352DB7">
              <w:rPr>
                <w:b/>
              </w:rPr>
              <w:t xml:space="preserve">:00pm – </w:t>
            </w:r>
            <w:r w:rsidRPr="00352DB7">
              <w:rPr>
                <w:b/>
              </w:rPr>
              <w:t>4</w:t>
            </w:r>
            <w:r w:rsidR="003A09B2" w:rsidRPr="00352DB7">
              <w:rPr>
                <w:b/>
              </w:rPr>
              <w:t>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BD1C" w14:textId="77777777" w:rsidR="000A6E20" w:rsidRPr="00352DB7" w:rsidRDefault="000A6E20" w:rsidP="000A6E20">
            <w:pPr>
              <w:spacing w:line="288" w:lineRule="auto"/>
              <w:ind w:right="-20"/>
            </w:pPr>
            <w:r w:rsidRPr="00352DB7">
              <w:t>SBCTC Updates</w:t>
            </w:r>
          </w:p>
          <w:p w14:paraId="14BC9C4A" w14:textId="77777777" w:rsidR="000A6E20" w:rsidRPr="00352DB7" w:rsidRDefault="000A6E20" w:rsidP="000A6E20">
            <w:pPr>
              <w:pStyle w:val="ListParagraph"/>
              <w:numPr>
                <w:ilvl w:val="0"/>
                <w:numId w:val="19"/>
              </w:numPr>
              <w:spacing w:line="288" w:lineRule="auto"/>
              <w:ind w:right="-20"/>
            </w:pPr>
            <w:r w:rsidRPr="00352DB7">
              <w:t>Teri Sexton</w:t>
            </w:r>
          </w:p>
          <w:p w14:paraId="0997A25E" w14:textId="77777777" w:rsidR="00352DB7" w:rsidRDefault="000A6E20" w:rsidP="000A6E20">
            <w:pPr>
              <w:pStyle w:val="ListParagraph"/>
              <w:numPr>
                <w:ilvl w:val="0"/>
                <w:numId w:val="19"/>
              </w:numPr>
              <w:spacing w:line="288" w:lineRule="auto"/>
              <w:ind w:right="-20"/>
            </w:pPr>
            <w:r w:rsidRPr="00352DB7">
              <w:t>Lori Carambot</w:t>
            </w:r>
          </w:p>
          <w:p w14:paraId="5FB6D84E" w14:textId="77777777" w:rsidR="003D7AE5" w:rsidRDefault="003D7AE5" w:rsidP="003D7AE5">
            <w:pPr>
              <w:spacing w:line="288" w:lineRule="auto"/>
              <w:ind w:right="-20"/>
            </w:pPr>
          </w:p>
          <w:p w14:paraId="60FCB162" w14:textId="1467E0B6" w:rsidR="003D7AE5" w:rsidRDefault="00907858" w:rsidP="003D7AE5">
            <w:pPr>
              <w:spacing w:line="288" w:lineRule="auto"/>
              <w:ind w:left="360" w:right="-20"/>
            </w:pPr>
            <w:r>
              <w:t>Minor changes</w:t>
            </w:r>
            <w:r w:rsidR="003D7AE5">
              <w:t xml:space="preserve"> coming to VPA process, memo coming out soon, </w:t>
            </w:r>
            <w:r w:rsidR="003D44E5">
              <w:t>OFM requiring</w:t>
            </w:r>
            <w:r>
              <w:t xml:space="preserve">. </w:t>
            </w:r>
            <w:r w:rsidR="003D44E5">
              <w:t>Colleges will no longer be pulling funds from the Treasurer.</w:t>
            </w:r>
            <w:r w:rsidR="001772FE">
              <w:t xml:space="preserve"> Will be impacted if you are overdrawn</w:t>
            </w:r>
            <w:r>
              <w:t xml:space="preserve">. </w:t>
            </w:r>
            <w:r w:rsidR="004662D2">
              <w:t>Starts July 1, 2024</w:t>
            </w:r>
            <w:r>
              <w:t xml:space="preserve">. </w:t>
            </w:r>
            <w:r w:rsidR="00D17203">
              <w:t>Will still do express invoicing and receipt of ACH funds.</w:t>
            </w:r>
          </w:p>
          <w:p w14:paraId="49CA2651" w14:textId="77777777" w:rsidR="00FD57A8" w:rsidRDefault="00774001" w:rsidP="003D7AE5">
            <w:pPr>
              <w:spacing w:line="288" w:lineRule="auto"/>
              <w:ind w:left="360" w:right="-20"/>
            </w:pPr>
            <w:r>
              <w:lastRenderedPageBreak/>
              <w:t>What’s new at SBCTC?</w:t>
            </w:r>
            <w:r>
              <w:br/>
              <w:t>New Business Analyst for Lori – Lauren Hoell</w:t>
            </w:r>
          </w:p>
          <w:p w14:paraId="551A5EEB" w14:textId="1C2F4013" w:rsidR="00B3373F" w:rsidRDefault="00B3373F" w:rsidP="003D7AE5">
            <w:pPr>
              <w:spacing w:line="288" w:lineRule="auto"/>
              <w:ind w:left="360" w:right="-20"/>
            </w:pPr>
            <w:r>
              <w:t>Risk Assessments and Interna Controls – should be doing annually</w:t>
            </w:r>
            <w:r w:rsidR="00907858">
              <w:t xml:space="preserve">. </w:t>
            </w:r>
            <w:r w:rsidR="00757DB9">
              <w:t>SAAM Ch 20 Internal Control</w:t>
            </w:r>
            <w:r w:rsidR="000C26D9">
              <w:t>; SAO has a resource library on IC stuff.</w:t>
            </w:r>
          </w:p>
          <w:p w14:paraId="08420EC5" w14:textId="77777777" w:rsidR="00BB7486" w:rsidRDefault="00BB7486" w:rsidP="003D7AE5">
            <w:pPr>
              <w:spacing w:line="288" w:lineRule="auto"/>
              <w:ind w:left="360" w:right="-20"/>
            </w:pPr>
          </w:p>
          <w:p w14:paraId="3194EA1B" w14:textId="7B4A6C9B" w:rsidR="00BB7486" w:rsidRDefault="00BB7486" w:rsidP="003D7AE5">
            <w:pPr>
              <w:spacing w:line="288" w:lineRule="auto"/>
              <w:ind w:left="360" w:right="-20"/>
            </w:pPr>
            <w:r>
              <w:t>Disclosures – opening on July 15, 2024</w:t>
            </w:r>
            <w:r w:rsidR="00555D6F">
              <w:t xml:space="preserve"> (early)</w:t>
            </w:r>
            <w:r w:rsidR="00CD7BC6">
              <w:t xml:space="preserve"> so you can get an idea what’s needed</w:t>
            </w:r>
            <w:r w:rsidR="00CD7BC6">
              <w:br/>
              <w:t xml:space="preserve">August 14, </w:t>
            </w:r>
            <w:r w:rsidR="006B374B">
              <w:t>2024,</w:t>
            </w:r>
            <w:r w:rsidR="00CD7BC6">
              <w:t xml:space="preserve"> is </w:t>
            </w:r>
            <w:r w:rsidR="00CD7BC6">
              <w:rPr>
                <w:u w:val="single"/>
              </w:rPr>
              <w:t>hard</w:t>
            </w:r>
            <w:r w:rsidR="00CD7BC6">
              <w:t xml:space="preserve"> close date.</w:t>
            </w:r>
          </w:p>
          <w:p w14:paraId="226CA725" w14:textId="0F6EAFAF" w:rsidR="00593ACD" w:rsidRDefault="00593ACD" w:rsidP="003D7AE5">
            <w:pPr>
              <w:spacing w:line="288" w:lineRule="auto"/>
              <w:ind w:left="360" w:right="-20"/>
            </w:pPr>
            <w:r>
              <w:t xml:space="preserve">State Certification due </w:t>
            </w:r>
            <w:r w:rsidR="003234D2">
              <w:t>9/6/2024.</w:t>
            </w:r>
          </w:p>
          <w:p w14:paraId="41359884" w14:textId="77777777" w:rsidR="00593ACD" w:rsidRDefault="00593ACD" w:rsidP="003D7AE5">
            <w:pPr>
              <w:spacing w:line="288" w:lineRule="auto"/>
              <w:ind w:left="360" w:right="-20"/>
            </w:pPr>
            <w:r>
              <w:t>Federal Certif</w:t>
            </w:r>
            <w:r w:rsidR="006B374B">
              <w:t>ication 2/26/2025</w:t>
            </w:r>
          </w:p>
          <w:p w14:paraId="10F52EAA" w14:textId="07A85A14" w:rsidR="00801F25" w:rsidRDefault="00801F25" w:rsidP="003D7AE5">
            <w:pPr>
              <w:spacing w:line="288" w:lineRule="auto"/>
              <w:ind w:left="360" w:right="-20"/>
            </w:pPr>
            <w:r>
              <w:t xml:space="preserve">Amounts reported should match GL, if differ a detailed explanation is </w:t>
            </w:r>
            <w:r w:rsidR="00813CDC">
              <w:t>required.</w:t>
            </w:r>
          </w:p>
          <w:p w14:paraId="52E04185" w14:textId="690E0CDB" w:rsidR="00806799" w:rsidRDefault="00806799" w:rsidP="003D7AE5">
            <w:pPr>
              <w:spacing w:line="288" w:lineRule="auto"/>
              <w:ind w:left="360" w:right="-20"/>
            </w:pPr>
            <w:r>
              <w:t>Amounts reported used for SEFA (Schedule of Expenditures of Federal Awards)</w:t>
            </w:r>
            <w:r w:rsidR="00CF286B">
              <w:t xml:space="preserve"> – Statewide</w:t>
            </w:r>
            <w:r w:rsidR="00B850FD">
              <w:br/>
              <w:t>Don’t enter too early or may have to correct for later closing entries.</w:t>
            </w:r>
          </w:p>
          <w:p w14:paraId="735CD0FA" w14:textId="77777777" w:rsidR="00F225A7" w:rsidRDefault="00F225A7" w:rsidP="003D7AE5">
            <w:pPr>
              <w:spacing w:line="288" w:lineRule="auto"/>
              <w:ind w:left="360" w:right="-20"/>
            </w:pPr>
          </w:p>
          <w:p w14:paraId="63B70A2A" w14:textId="79B4B9AF" w:rsidR="00351EAA" w:rsidRDefault="00F225A7" w:rsidP="003D7AE5">
            <w:pPr>
              <w:spacing w:line="288" w:lineRule="auto"/>
              <w:ind w:left="360" w:right="-20"/>
            </w:pPr>
            <w:r>
              <w:t xml:space="preserve">Capital assets not adequately reconciled at YE. </w:t>
            </w:r>
            <w:r w:rsidR="005A2424">
              <w:t>Governmental</w:t>
            </w:r>
            <w:r>
              <w:t xml:space="preserve"> 504xxxx</w:t>
            </w:r>
          </w:p>
          <w:p w14:paraId="49866637" w14:textId="0A531915" w:rsidR="00F225A7" w:rsidRDefault="00F225A7" w:rsidP="003D7AE5">
            <w:pPr>
              <w:spacing w:line="288" w:lineRule="auto"/>
              <w:ind w:left="360" w:right="-20"/>
            </w:pPr>
            <w:r>
              <w:t>expenditures should match additions to assets</w:t>
            </w:r>
            <w:r w:rsidR="00351EAA">
              <w:t xml:space="preserve">, reconcile prior to </w:t>
            </w:r>
            <w:r w:rsidR="00EE7C4B">
              <w:t>closing</w:t>
            </w:r>
            <w:r w:rsidR="00D25D5F">
              <w:t>; move non-capitalized expenses to some other account</w:t>
            </w:r>
            <w:r w:rsidR="00BB3AB8">
              <w:t xml:space="preserve">; all COP expenditures </w:t>
            </w:r>
            <w:r w:rsidR="00E001E7">
              <w:t>must</w:t>
            </w:r>
            <w:r w:rsidR="00BB3AB8">
              <w:t xml:space="preserve"> be capitalized.</w:t>
            </w:r>
          </w:p>
          <w:p w14:paraId="5A4CBBFE" w14:textId="69FEA334" w:rsidR="005A2424" w:rsidRDefault="005A2424" w:rsidP="003D7AE5">
            <w:pPr>
              <w:spacing w:line="288" w:lineRule="auto"/>
              <w:ind w:left="360" w:right="-20"/>
            </w:pPr>
            <w:r>
              <w:t>Proprietary no 504xxx expenditures at YE</w:t>
            </w:r>
            <w:r w:rsidR="00907858">
              <w:t xml:space="preserve">. </w:t>
            </w:r>
            <w:r w:rsidR="00A325CB">
              <w:t>If using AM, will make entries for you</w:t>
            </w:r>
            <w:r w:rsidR="00627C6C">
              <w:t xml:space="preserve"> – moves 504xxxx to 112xxxx based on asset type.</w:t>
            </w:r>
          </w:p>
          <w:p w14:paraId="1C2144A4" w14:textId="77777777" w:rsidR="00627C6C" w:rsidRDefault="00627C6C" w:rsidP="003D7AE5">
            <w:pPr>
              <w:spacing w:line="288" w:lineRule="auto"/>
              <w:ind w:left="360" w:right="-20"/>
            </w:pPr>
          </w:p>
          <w:p w14:paraId="4E06AC69" w14:textId="58A6D6A7" w:rsidR="00627C6C" w:rsidRDefault="00627C6C" w:rsidP="003D7AE5">
            <w:pPr>
              <w:spacing w:line="288" w:lineRule="auto"/>
              <w:ind w:left="360" w:right="-20"/>
            </w:pPr>
            <w:r>
              <w:t>Allowance for Doub</w:t>
            </w:r>
            <w:r w:rsidR="00416225">
              <w:t>tful Accounts – College needs to have policy</w:t>
            </w:r>
            <w:r w:rsidR="001157A4">
              <w:t>, SBCTC cannot set for us</w:t>
            </w:r>
            <w:r w:rsidR="00907858">
              <w:t xml:space="preserve">. </w:t>
            </w:r>
            <w:r w:rsidR="005A0E98">
              <w:t>Coming out with global AR aging report for all 101xxxx</w:t>
            </w:r>
            <w:r w:rsidR="00B15C42">
              <w:t xml:space="preserve"> accounts in May</w:t>
            </w:r>
          </w:p>
          <w:p w14:paraId="368CE67D" w14:textId="77777777" w:rsidR="003A571D" w:rsidRDefault="003A571D" w:rsidP="003D7AE5">
            <w:pPr>
              <w:spacing w:line="288" w:lineRule="auto"/>
              <w:ind w:left="360" w:right="-20"/>
            </w:pPr>
          </w:p>
          <w:p w14:paraId="0E74F968" w14:textId="77777777" w:rsidR="003A571D" w:rsidRDefault="00757147" w:rsidP="003D7AE5">
            <w:pPr>
              <w:spacing w:line="288" w:lineRule="auto"/>
              <w:ind w:left="360" w:right="-20"/>
            </w:pPr>
            <w:r>
              <w:t>List of required recons with SAAM sections.</w:t>
            </w:r>
          </w:p>
          <w:p w14:paraId="2380DFEB" w14:textId="77777777" w:rsidR="00757147" w:rsidRDefault="00757147" w:rsidP="003D7AE5">
            <w:pPr>
              <w:spacing w:line="288" w:lineRule="auto"/>
              <w:ind w:left="360" w:right="-20"/>
            </w:pPr>
          </w:p>
          <w:p w14:paraId="22C47071" w14:textId="2805F414" w:rsidR="00757147" w:rsidRPr="00CD7BC6" w:rsidRDefault="00757147" w:rsidP="003D7AE5">
            <w:pPr>
              <w:spacing w:line="288" w:lineRule="auto"/>
              <w:ind w:left="360" w:right="-20"/>
              <w:rPr>
                <w:b/>
                <w:bCs/>
              </w:rPr>
            </w:pPr>
            <w:r>
              <w:t>Daily meetings sooner than previously</w:t>
            </w:r>
            <w:r w:rsidR="00907858">
              <w:t xml:space="preserve">? </w:t>
            </w:r>
            <w:r w:rsidR="00E37BB4">
              <w:t>Go over recons</w:t>
            </w:r>
            <w:r w:rsidR="00907858">
              <w:t xml:space="preserve">. </w:t>
            </w:r>
            <w:r w:rsidR="00566D84">
              <w:t>Will be recording Q&amp;A sessions this year</w:t>
            </w:r>
            <w:r w:rsidR="008F5D45">
              <w:t>.</w:t>
            </w:r>
          </w:p>
        </w:tc>
      </w:tr>
      <w:bookmarkEnd w:id="1"/>
      <w:tr w:rsidR="00E95C22" w:rsidRPr="00352DB7" w14:paraId="1C357DA9" w14:textId="77777777" w:rsidTr="007D60C6">
        <w:trPr>
          <w:trHeight w:val="413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0B9BF" w14:textId="77777777" w:rsidR="00E95C22" w:rsidRPr="00352DB7" w:rsidRDefault="00E95C22" w:rsidP="007D60C6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lastRenderedPageBreak/>
              <w:t>4:00pm – 4:30pm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AB61" w14:textId="77777777" w:rsidR="00E95C22" w:rsidRPr="00352DB7" w:rsidRDefault="00E95C22" w:rsidP="007D60C6">
            <w:pPr>
              <w:spacing w:line="288" w:lineRule="auto"/>
              <w:ind w:right="-20"/>
            </w:pPr>
            <w:r w:rsidRPr="00352DB7">
              <w:t>Tour of Big Bend Workforce Training Building</w:t>
            </w:r>
          </w:p>
        </w:tc>
      </w:tr>
    </w:tbl>
    <w:p w14:paraId="4B227291" w14:textId="77777777" w:rsidR="002C3B49" w:rsidRPr="00352DB7" w:rsidRDefault="002C3B49">
      <w:pPr>
        <w:spacing w:line="261" w:lineRule="auto"/>
      </w:pPr>
    </w:p>
    <w:p w14:paraId="03920B08" w14:textId="77777777" w:rsidR="002C3B49" w:rsidRPr="00352DB7" w:rsidRDefault="002C3B49">
      <w:pPr>
        <w:spacing w:line="261" w:lineRule="auto"/>
      </w:pPr>
    </w:p>
    <w:p w14:paraId="14BDEA08" w14:textId="77777777" w:rsidR="002C3B49" w:rsidRPr="00352DB7" w:rsidRDefault="002C3B49">
      <w:pPr>
        <w:spacing w:line="261" w:lineRule="auto"/>
      </w:pPr>
    </w:p>
    <w:p w14:paraId="54C7EA41" w14:textId="77777777" w:rsidR="002C3B49" w:rsidRPr="00352DB7" w:rsidRDefault="002C3B49" w:rsidP="002C3B49">
      <w:pPr>
        <w:spacing w:line="261" w:lineRule="auto"/>
        <w:jc w:val="center"/>
        <w:rPr>
          <w:b/>
        </w:rPr>
      </w:pPr>
      <w:r w:rsidRPr="00352DB7">
        <w:rPr>
          <w:b/>
        </w:rPr>
        <w:t>Friday April 26</w:t>
      </w:r>
      <w:r w:rsidRPr="00352DB7">
        <w:rPr>
          <w:b/>
          <w:vertAlign w:val="superscript"/>
        </w:rPr>
        <w:t>th</w:t>
      </w:r>
      <w:r w:rsidRPr="00352DB7">
        <w:rPr>
          <w:b/>
        </w:rPr>
        <w:t xml:space="preserve"> </w:t>
      </w:r>
    </w:p>
    <w:tbl>
      <w:tblPr>
        <w:tblStyle w:val="2"/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2C3B49" w:rsidRPr="00352DB7" w14:paraId="58FD7CEE" w14:textId="77777777" w:rsidTr="00387B3D">
        <w:trPr>
          <w:trHeight w:val="4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A60B" w14:textId="77777777" w:rsidR="002C3B49" w:rsidRPr="00352DB7" w:rsidRDefault="002C3B49" w:rsidP="00387B3D">
            <w:pPr>
              <w:spacing w:line="291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8:30am - 9:00am</w:t>
            </w:r>
          </w:p>
        </w:tc>
        <w:tc>
          <w:tcPr>
            <w:tcW w:w="7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8B317" w14:textId="10803D73" w:rsidR="002C3B49" w:rsidRPr="00352DB7" w:rsidRDefault="002C3B49" w:rsidP="00387B3D">
            <w:pPr>
              <w:spacing w:line="291" w:lineRule="auto"/>
              <w:ind w:right="-20"/>
            </w:pPr>
            <w:r w:rsidRPr="00352DB7">
              <w:t xml:space="preserve">Casual conversation &amp; </w:t>
            </w:r>
            <w:r w:rsidR="000A6E20">
              <w:t xml:space="preserve">light </w:t>
            </w:r>
            <w:r w:rsidR="0054288A">
              <w:t>refreshments</w:t>
            </w:r>
          </w:p>
          <w:p w14:paraId="1EDB2A96" w14:textId="77777777" w:rsidR="002C3B49" w:rsidRPr="00352DB7" w:rsidRDefault="002C3B49" w:rsidP="00387B3D">
            <w:pPr>
              <w:spacing w:line="291" w:lineRule="auto"/>
              <w:ind w:right="-20"/>
            </w:pPr>
            <w:r w:rsidRPr="00352DB7">
              <w:t>NOTE: No official business or training should take place during this time to prevent others still joining missing necessary information.</w:t>
            </w:r>
          </w:p>
        </w:tc>
      </w:tr>
      <w:tr w:rsidR="002C3B49" w:rsidRPr="00352DB7" w14:paraId="74FB0B00" w14:textId="77777777" w:rsidTr="00E25118">
        <w:trPr>
          <w:trHeight w:val="1151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9865" w14:textId="77777777" w:rsidR="002C3B49" w:rsidRPr="00352DB7" w:rsidRDefault="002C3B49" w:rsidP="00387B3D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lastRenderedPageBreak/>
              <w:t>9:00am – 10:00am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AFF6" w14:textId="79D6FADA" w:rsidR="003C0694" w:rsidRPr="00352DB7" w:rsidRDefault="000A6E20" w:rsidP="000A6E20">
            <w:pPr>
              <w:spacing w:line="288" w:lineRule="auto"/>
              <w:ind w:right="-20"/>
            </w:pPr>
            <w:r w:rsidRPr="00352DB7">
              <w:t>Funds &amp; Fund Types</w:t>
            </w:r>
            <w:r w:rsidR="003C0694">
              <w:t xml:space="preserve"> (Sue Willis)</w:t>
            </w:r>
          </w:p>
          <w:p w14:paraId="2C6FEEC2" w14:textId="77777777" w:rsidR="002C3B49" w:rsidRDefault="000A6E20" w:rsidP="000A6E20">
            <w:pPr>
              <w:pStyle w:val="ListParagraph"/>
              <w:numPr>
                <w:ilvl w:val="0"/>
                <w:numId w:val="19"/>
              </w:numPr>
              <w:spacing w:line="288" w:lineRule="auto"/>
              <w:ind w:right="-20"/>
            </w:pPr>
            <w:r w:rsidRPr="00352DB7">
              <w:t>SBCTC Accounting</w:t>
            </w:r>
          </w:p>
          <w:p w14:paraId="4432FA9D" w14:textId="77777777" w:rsidR="003F5D6B" w:rsidRDefault="003F5D6B" w:rsidP="003F5D6B">
            <w:pPr>
              <w:spacing w:line="288" w:lineRule="auto"/>
              <w:ind w:right="-20"/>
            </w:pPr>
          </w:p>
          <w:p w14:paraId="404598E0" w14:textId="23FF52D7" w:rsidR="003F5D6B" w:rsidRDefault="00BB6FD1" w:rsidP="00142876">
            <w:pPr>
              <w:spacing w:line="288" w:lineRule="auto"/>
              <w:ind w:left="720" w:right="-20"/>
            </w:pPr>
            <w:r>
              <w:t xml:space="preserve">Appropriation expenditures </w:t>
            </w:r>
            <w:r w:rsidR="00550812">
              <w:t>must have the correct fund and AI.</w:t>
            </w:r>
            <w:r w:rsidR="00550812">
              <w:br/>
              <w:t>Two types, capital and operating</w:t>
            </w:r>
            <w:r w:rsidR="00907858">
              <w:t xml:space="preserve">. </w:t>
            </w:r>
            <w:r w:rsidR="00550812">
              <w:t xml:space="preserve">Capital is approved by the </w:t>
            </w:r>
            <w:r w:rsidR="00EE7C4B">
              <w:t>state,</w:t>
            </w:r>
            <w:r w:rsidR="00550812">
              <w:t xml:space="preserve"> </w:t>
            </w:r>
            <w:r w:rsidR="00F76BF4">
              <w:t>and</w:t>
            </w:r>
            <w:r w:rsidR="00550812">
              <w:t xml:space="preserve"> </w:t>
            </w:r>
            <w:r w:rsidR="00E47FCE">
              <w:t xml:space="preserve">we also </w:t>
            </w:r>
            <w:r w:rsidR="00550812">
              <w:t>have locally approved funds.</w:t>
            </w:r>
          </w:p>
          <w:p w14:paraId="1D7B563F" w14:textId="77777777" w:rsidR="00550812" w:rsidRDefault="00550812" w:rsidP="00142876">
            <w:pPr>
              <w:spacing w:line="288" w:lineRule="auto"/>
              <w:ind w:left="720" w:right="-20"/>
            </w:pPr>
          </w:p>
          <w:p w14:paraId="274C1ECF" w14:textId="0D6C6904" w:rsidR="00A2207C" w:rsidRDefault="00A2207C" w:rsidP="00142876">
            <w:pPr>
              <w:spacing w:line="288" w:lineRule="auto"/>
              <w:ind w:left="720" w:right="-20"/>
            </w:pPr>
            <w:r>
              <w:t>Five fund types</w:t>
            </w:r>
          </w:p>
          <w:p w14:paraId="6FD7F8D5" w14:textId="1B234F95" w:rsidR="00F76BF4" w:rsidRDefault="00F76BF4" w:rsidP="00142876">
            <w:pPr>
              <w:spacing w:line="288" w:lineRule="auto"/>
              <w:ind w:left="720" w:right="-20"/>
            </w:pPr>
            <w:r>
              <w:t xml:space="preserve">Fund type 1 </w:t>
            </w:r>
            <w:r w:rsidR="00A2207C">
              <w:t>–</w:t>
            </w:r>
            <w:r>
              <w:t xml:space="preserve"> G</w:t>
            </w:r>
            <w:r w:rsidR="00A2207C">
              <w:t>ovt’s 001, 08A, 057</w:t>
            </w:r>
            <w:r w:rsidR="00162732">
              <w:t xml:space="preserve">, 060, </w:t>
            </w:r>
            <w:r w:rsidR="00907858">
              <w:t xml:space="preserve">etc. </w:t>
            </w:r>
            <w:r w:rsidR="00162732">
              <w:t>These are Treasury funds.</w:t>
            </w:r>
          </w:p>
          <w:p w14:paraId="706D77F5" w14:textId="4683FC59" w:rsidR="0010072E" w:rsidRDefault="005B1389" w:rsidP="00142876">
            <w:pPr>
              <w:spacing w:line="288" w:lineRule="auto"/>
              <w:ind w:left="720" w:right="-20"/>
            </w:pPr>
            <w:r>
              <w:t>Fund type 2</w:t>
            </w:r>
            <w:r w:rsidR="008A15D0">
              <w:t xml:space="preserve"> – Gov’t</w:t>
            </w:r>
            <w:r w:rsidR="00237429">
              <w:t>, permanent and local</w:t>
            </w:r>
          </w:p>
          <w:p w14:paraId="2B3B2073" w14:textId="3506AE5F" w:rsidR="00237429" w:rsidRDefault="00237429" w:rsidP="00142876">
            <w:pPr>
              <w:spacing w:line="288" w:lineRule="auto"/>
              <w:ind w:left="720" w:right="-20"/>
            </w:pPr>
            <w:r>
              <w:t>Fund type 3 – Gov’t special revenue</w:t>
            </w:r>
            <w:r w:rsidR="00FF2A96">
              <w:t xml:space="preserve"> and local (148,149, </w:t>
            </w:r>
            <w:r w:rsidR="00E9409F">
              <w:t>846)</w:t>
            </w:r>
          </w:p>
          <w:p w14:paraId="69B15B5F" w14:textId="75EAA713" w:rsidR="00FF2A96" w:rsidRDefault="00FF2A96" w:rsidP="00142876">
            <w:pPr>
              <w:spacing w:line="288" w:lineRule="auto"/>
              <w:ind w:left="720" w:right="-20"/>
            </w:pPr>
            <w:r>
              <w:t>Fund type 4 – Proprietary Internal Service and Enterprise</w:t>
            </w:r>
            <w:r w:rsidR="00E9409F">
              <w:t xml:space="preserve"> (443, 460, 522)</w:t>
            </w:r>
          </w:p>
          <w:p w14:paraId="69DAFE8F" w14:textId="4A5A1525" w:rsidR="00101D65" w:rsidRDefault="00101D65" w:rsidP="00AB58E7">
            <w:pPr>
              <w:spacing w:line="288" w:lineRule="auto"/>
              <w:ind w:left="720" w:right="-20"/>
            </w:pPr>
            <w:r>
              <w:t xml:space="preserve">Fund type 5 </w:t>
            </w:r>
            <w:r w:rsidR="00AB58E7">
              <w:t>–</w:t>
            </w:r>
            <w:r>
              <w:t xml:space="preserve"> Clearing/suspense and Fiduciary</w:t>
            </w:r>
            <w:r w:rsidR="0054288A">
              <w:t>, custodial and local (790 and 840)</w:t>
            </w:r>
            <w:r w:rsidR="00907858">
              <w:t xml:space="preserve">. </w:t>
            </w:r>
            <w:r w:rsidR="00D02D38">
              <w:t>840 balanced in AFRS in FY</w:t>
            </w:r>
            <w:r w:rsidR="00342EFF">
              <w:t>2223, need to keep in balance</w:t>
            </w:r>
            <w:r w:rsidR="00907858">
              <w:t xml:space="preserve">. </w:t>
            </w:r>
            <w:r w:rsidR="00342EFF">
              <w:t xml:space="preserve">Also need to do fiduciary statements for </w:t>
            </w:r>
            <w:r w:rsidR="00737500">
              <w:t>840.</w:t>
            </w:r>
          </w:p>
          <w:p w14:paraId="768EFD13" w14:textId="77777777" w:rsidR="00737500" w:rsidRDefault="00737500" w:rsidP="00AB58E7">
            <w:pPr>
              <w:spacing w:line="288" w:lineRule="auto"/>
              <w:ind w:left="720" w:right="-20"/>
            </w:pPr>
          </w:p>
          <w:p w14:paraId="34A33125" w14:textId="1C429F2D" w:rsidR="00737500" w:rsidRDefault="00737500" w:rsidP="00AB58E7">
            <w:pPr>
              <w:spacing w:line="288" w:lineRule="auto"/>
              <w:ind w:left="720" w:right="-20"/>
            </w:pPr>
            <w:r>
              <w:t>Class codes describe the type of use (instructions, administration, student services, etc.</w:t>
            </w:r>
          </w:p>
          <w:p w14:paraId="082283DD" w14:textId="131E6350" w:rsidR="00FF2A96" w:rsidRDefault="00D74851" w:rsidP="00142876">
            <w:pPr>
              <w:spacing w:line="288" w:lineRule="auto"/>
              <w:ind w:left="720" w:right="-20"/>
            </w:pPr>
            <w:r>
              <w:t xml:space="preserve">Class codes for </w:t>
            </w:r>
            <w:r w:rsidR="00327C1B">
              <w:t>148, 149</w:t>
            </w:r>
            <w:r w:rsidR="00B14997">
              <w:t xml:space="preserve"> (operating funds)</w:t>
            </w:r>
            <w:r w:rsidR="00327C1B">
              <w:t>, etc. need to start with “0”</w:t>
            </w:r>
            <w:r w:rsidR="00B14997">
              <w:t>.</w:t>
            </w:r>
          </w:p>
          <w:p w14:paraId="1D1384BC" w14:textId="39C49B49" w:rsidR="00B14997" w:rsidRDefault="00B14997" w:rsidP="00142876">
            <w:pPr>
              <w:spacing w:line="288" w:lineRule="auto"/>
              <w:ind w:left="720" w:right="-20"/>
            </w:pPr>
            <w:r>
              <w:t>145, 146 start with a “1”</w:t>
            </w:r>
            <w:r w:rsidR="00907858">
              <w:t xml:space="preserve">. </w:t>
            </w:r>
            <w:r>
              <w:t xml:space="preserve">Capital begins with a </w:t>
            </w:r>
            <w:r w:rsidR="001F6C0B">
              <w:t>“</w:t>
            </w:r>
            <w:r>
              <w:t>2</w:t>
            </w:r>
            <w:r w:rsidR="001F6C0B">
              <w:t>”</w:t>
            </w:r>
            <w:r>
              <w:t xml:space="preserve">, debt service is a </w:t>
            </w:r>
            <w:r w:rsidR="001F6C0B">
              <w:t>“</w:t>
            </w:r>
            <w:r>
              <w:t>3</w:t>
            </w:r>
            <w:r w:rsidR="001F6C0B">
              <w:t>”</w:t>
            </w:r>
            <w:r>
              <w:t>, revenue/holding</w:t>
            </w:r>
            <w:r w:rsidR="001F6C0B">
              <w:t xml:space="preserve"> begins with “5.”</w:t>
            </w:r>
          </w:p>
          <w:p w14:paraId="7119957E" w14:textId="77777777" w:rsidR="001F6C0B" w:rsidRDefault="001F6C0B" w:rsidP="00142876">
            <w:pPr>
              <w:spacing w:line="288" w:lineRule="auto"/>
              <w:ind w:left="720" w:right="-20"/>
            </w:pPr>
          </w:p>
          <w:p w14:paraId="5FCBA259" w14:textId="20BB9947" w:rsidR="0010072E" w:rsidRDefault="00D9502C" w:rsidP="00142876">
            <w:pPr>
              <w:spacing w:line="288" w:lineRule="auto"/>
              <w:ind w:left="720" w:right="-20"/>
            </w:pPr>
            <w:r>
              <w:t>Student aid in funds 846 (Fin Aid), 849 (Loans), 145 (Grants)</w:t>
            </w:r>
            <w:r w:rsidR="00907858">
              <w:t xml:space="preserve">. </w:t>
            </w:r>
            <w:r w:rsidR="00D11BEB">
              <w:t>Never put in 148 or 149.</w:t>
            </w:r>
          </w:p>
          <w:p w14:paraId="42AEA618" w14:textId="77777777" w:rsidR="00E017DD" w:rsidRDefault="00E017DD" w:rsidP="00142876">
            <w:pPr>
              <w:spacing w:line="288" w:lineRule="auto"/>
              <w:ind w:left="720" w:right="-20"/>
            </w:pPr>
          </w:p>
          <w:p w14:paraId="16F6B8DF" w14:textId="47455C00" w:rsidR="00E017DD" w:rsidRDefault="00E017DD" w:rsidP="00142876">
            <w:pPr>
              <w:spacing w:line="288" w:lineRule="auto"/>
              <w:ind w:left="720" w:right="-20"/>
            </w:pPr>
            <w:r>
              <w:t xml:space="preserve">148 </w:t>
            </w:r>
            <w:r w:rsidR="00255CF0">
              <w:t>is</w:t>
            </w:r>
            <w:r w:rsidR="00EB331D">
              <w:t xml:space="preserve"> </w:t>
            </w:r>
            <w:r>
              <w:t>dedicated local fees</w:t>
            </w:r>
            <w:r w:rsidR="00907858">
              <w:t xml:space="preserve">. </w:t>
            </w:r>
            <w:r>
              <w:t xml:space="preserve">Mostly revenue from </w:t>
            </w:r>
            <w:r w:rsidR="00EB331D">
              <w:t>mandatory student fees, tech fees, course/class fees, community education.</w:t>
            </w:r>
          </w:p>
          <w:p w14:paraId="4D35994B" w14:textId="77777777" w:rsidR="00EB331D" w:rsidRDefault="00EB331D" w:rsidP="00142876">
            <w:pPr>
              <w:spacing w:line="288" w:lineRule="auto"/>
              <w:ind w:left="720" w:right="-20"/>
            </w:pPr>
          </w:p>
          <w:p w14:paraId="3F7C9345" w14:textId="5D90F743" w:rsidR="00EB331D" w:rsidRDefault="00EB331D" w:rsidP="00142876">
            <w:pPr>
              <w:spacing w:line="288" w:lineRule="auto"/>
              <w:ind w:left="720" w:right="-20"/>
            </w:pPr>
            <w:r>
              <w:t>149 is only for tuition and interest</w:t>
            </w:r>
            <w:r w:rsidR="00907858">
              <w:t xml:space="preserve">. </w:t>
            </w:r>
            <w:r w:rsidR="00C5266B">
              <w:t>Interfund transfers are not permissible in thi</w:t>
            </w:r>
            <w:r w:rsidR="00B95A62">
              <w:t>s fund.</w:t>
            </w:r>
          </w:p>
          <w:p w14:paraId="5F608FFD" w14:textId="77777777" w:rsidR="00B95A62" w:rsidRDefault="00B95A62" w:rsidP="00142876">
            <w:pPr>
              <w:spacing w:line="288" w:lineRule="auto"/>
              <w:ind w:left="720" w:right="-20"/>
            </w:pPr>
          </w:p>
          <w:p w14:paraId="16C5C214" w14:textId="77777777" w:rsidR="000513DD" w:rsidRDefault="00B95A62" w:rsidP="0043004B">
            <w:pPr>
              <w:spacing w:line="288" w:lineRule="auto"/>
              <w:ind w:left="720" w:right="-20"/>
            </w:pPr>
            <w:r>
              <w:t>Impermissible transactions – can’t use interfund transfers in state allocated operating and capital funds. (</w:t>
            </w:r>
            <w:r w:rsidR="000513DD">
              <w:t>403050/4030140, 1010170/2012040</w:t>
            </w:r>
            <w:r w:rsidR="0043004B">
              <w:t>)</w:t>
            </w:r>
          </w:p>
          <w:p w14:paraId="65FBAD58" w14:textId="77777777" w:rsidR="0043004B" w:rsidRDefault="0043004B" w:rsidP="0043004B">
            <w:pPr>
              <w:spacing w:line="288" w:lineRule="auto"/>
              <w:ind w:left="720" w:right="-20"/>
            </w:pPr>
          </w:p>
          <w:p w14:paraId="77EA4FEA" w14:textId="24E80F6B" w:rsidR="0043004B" w:rsidRDefault="0043004B" w:rsidP="0043004B">
            <w:pPr>
              <w:spacing w:line="288" w:lineRule="auto"/>
              <w:ind w:left="720" w:right="-20"/>
            </w:pPr>
            <w:r>
              <w:t>Revenues reported as expense reductions in AFRS</w:t>
            </w:r>
            <w:r w:rsidR="00966D57">
              <w:t>.</w:t>
            </w:r>
          </w:p>
          <w:p w14:paraId="33870FEA" w14:textId="77777777" w:rsidR="00791D11" w:rsidRDefault="00791D11" w:rsidP="0043004B">
            <w:pPr>
              <w:spacing w:line="288" w:lineRule="auto"/>
              <w:ind w:left="720" w:right="-20"/>
            </w:pPr>
          </w:p>
          <w:p w14:paraId="608DAC23" w14:textId="77777777" w:rsidR="00791D11" w:rsidRDefault="00791D11" w:rsidP="0043004B">
            <w:pPr>
              <w:spacing w:line="288" w:lineRule="auto"/>
              <w:ind w:left="720" w:right="-20"/>
            </w:pPr>
            <w:r>
              <w:t xml:space="preserve">Enterprise funds </w:t>
            </w:r>
            <w:r w:rsidR="00E25118">
              <w:t>T-transfer that create expenses with credit balances.</w:t>
            </w:r>
          </w:p>
          <w:p w14:paraId="5F81EEF5" w14:textId="77777777" w:rsidR="00E25118" w:rsidRDefault="00E25118" w:rsidP="0043004B">
            <w:pPr>
              <w:spacing w:line="288" w:lineRule="auto"/>
              <w:ind w:left="720" w:right="-20"/>
            </w:pPr>
          </w:p>
          <w:p w14:paraId="724E33F3" w14:textId="77777777" w:rsidR="00966D57" w:rsidRDefault="00E25118" w:rsidP="00966D57">
            <w:pPr>
              <w:spacing w:line="288" w:lineRule="auto"/>
              <w:ind w:left="720" w:right="-20"/>
            </w:pPr>
            <w:r>
              <w:t>Funds 997 and 999 cannot have cash</w:t>
            </w:r>
            <w:r w:rsidR="00966D57">
              <w:t>.</w:t>
            </w:r>
          </w:p>
          <w:p w14:paraId="57A866C7" w14:textId="77777777" w:rsidR="00061F38" w:rsidRDefault="00061F38" w:rsidP="00966D57">
            <w:pPr>
              <w:spacing w:line="288" w:lineRule="auto"/>
              <w:ind w:left="720" w:right="-20"/>
            </w:pPr>
          </w:p>
          <w:p w14:paraId="6073BBE2" w14:textId="77777777" w:rsidR="008C683B" w:rsidRDefault="00061F38" w:rsidP="008C683B">
            <w:pPr>
              <w:spacing w:line="288" w:lineRule="auto"/>
              <w:ind w:left="720" w:right="-20"/>
            </w:pPr>
            <w:r>
              <w:t>Lots of questions/discussion</w:t>
            </w:r>
          </w:p>
          <w:p w14:paraId="1464F26F" w14:textId="6AEA7765" w:rsidR="008C683B" w:rsidRDefault="008C683B" w:rsidP="008C683B">
            <w:pPr>
              <w:spacing w:line="288" w:lineRule="auto"/>
              <w:ind w:left="720" w:right="-20"/>
            </w:pPr>
            <w:r>
              <w:lastRenderedPageBreak/>
              <w:t xml:space="preserve">Year-end – OFM focusing on cash, Assets w/CR balance Liabilities with DR balance, </w:t>
            </w:r>
            <w:r w:rsidR="00972A26">
              <w:t>accounts with unchanged balances</w:t>
            </w:r>
            <w:r w:rsidR="00D05466">
              <w:t xml:space="preserve"> (at the fund level</w:t>
            </w:r>
            <w:r w:rsidR="008B5DB0">
              <w:t xml:space="preserve"> – Lori working on new SMARTER report for this</w:t>
            </w:r>
            <w:r w:rsidR="00D05466">
              <w:t>)</w:t>
            </w:r>
          </w:p>
          <w:p w14:paraId="6906DA01" w14:textId="77777777" w:rsidR="00F6401E" w:rsidRDefault="00F6401E" w:rsidP="008C683B">
            <w:pPr>
              <w:spacing w:line="288" w:lineRule="auto"/>
              <w:ind w:left="720" w:right="-20"/>
            </w:pPr>
          </w:p>
          <w:p w14:paraId="00E90254" w14:textId="68416AEB" w:rsidR="00F6401E" w:rsidRDefault="00F6401E" w:rsidP="008C683B">
            <w:pPr>
              <w:spacing w:line="288" w:lineRule="auto"/>
              <w:ind w:left="720" w:right="-20"/>
            </w:pPr>
            <w:r>
              <w:t xml:space="preserve">New account created for credit card rebates </w:t>
            </w:r>
            <w:r w:rsidR="008B5DB0">
              <w:t>–</w:t>
            </w:r>
            <w:r>
              <w:t xml:space="preserve"> </w:t>
            </w:r>
            <w:r w:rsidR="00CE27E5">
              <w:t>4030165.</w:t>
            </w:r>
          </w:p>
          <w:p w14:paraId="70C46C03" w14:textId="77777777" w:rsidR="006156C8" w:rsidRDefault="006156C8" w:rsidP="008C683B">
            <w:pPr>
              <w:spacing w:line="288" w:lineRule="auto"/>
              <w:ind w:left="720" w:right="-20"/>
            </w:pPr>
          </w:p>
          <w:p w14:paraId="38605268" w14:textId="77777777" w:rsidR="001912E9" w:rsidRDefault="006156C8" w:rsidP="00775A75">
            <w:pPr>
              <w:spacing w:line="288" w:lineRule="auto"/>
              <w:ind w:left="720" w:right="-20"/>
            </w:pPr>
            <w:r>
              <w:t>State agency due to/from is very high right now.</w:t>
            </w:r>
            <w:r w:rsidR="00775A75">
              <w:t xml:space="preserve">  </w:t>
            </w:r>
            <w:r w:rsidR="001912E9">
              <w:t xml:space="preserve">August 14 is cut-off, will be </w:t>
            </w:r>
            <w:r w:rsidR="00775A75">
              <w:t>sending out email with actual due to/from cutoff date.</w:t>
            </w:r>
          </w:p>
          <w:p w14:paraId="3A3764C8" w14:textId="77777777" w:rsidR="003442C0" w:rsidRDefault="003442C0" w:rsidP="00775A75">
            <w:pPr>
              <w:spacing w:line="288" w:lineRule="auto"/>
              <w:ind w:left="720" w:right="-20"/>
            </w:pPr>
          </w:p>
          <w:p w14:paraId="36945E86" w14:textId="2337064F" w:rsidR="003442C0" w:rsidRPr="001912E9" w:rsidRDefault="003442C0" w:rsidP="00775A75">
            <w:pPr>
              <w:spacing w:line="288" w:lineRule="auto"/>
              <w:ind w:left="720" w:right="-20"/>
            </w:pPr>
            <w:r>
              <w:t>Teri is standardizing the closing rules this year so all colleges will be the same.</w:t>
            </w:r>
          </w:p>
        </w:tc>
      </w:tr>
      <w:tr w:rsidR="002C3B49" w:rsidRPr="00352DB7" w14:paraId="162D2450" w14:textId="77777777" w:rsidTr="00387B3D">
        <w:trPr>
          <w:trHeight w:val="79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F469" w14:textId="0A14F45D" w:rsidR="002C3B49" w:rsidRPr="00352DB7" w:rsidRDefault="00F356ED" w:rsidP="00387B3D">
            <w:pPr>
              <w:spacing w:line="288" w:lineRule="auto"/>
              <w:ind w:right="-20"/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  <w:r w:rsidR="00E95C22" w:rsidRPr="00352DB7">
              <w:rPr>
                <w:b/>
              </w:rPr>
              <w:t xml:space="preserve"> </w:t>
            </w:r>
            <w:r w:rsidR="002C3B49" w:rsidRPr="00352DB7">
              <w:rPr>
                <w:b/>
              </w:rPr>
              <w:t>10:00am – 11:00am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5243" w14:textId="61D0EF33" w:rsidR="002C3B49" w:rsidRPr="00352DB7" w:rsidRDefault="002C3B49" w:rsidP="00E95C22">
            <w:pPr>
              <w:spacing w:line="288" w:lineRule="auto"/>
              <w:ind w:right="-20"/>
            </w:pPr>
            <w:r w:rsidRPr="00352DB7">
              <w:t>1098T Roundtable</w:t>
            </w:r>
            <w:r w:rsidR="0098378D">
              <w:t xml:space="preserve"> (Brandon </w:t>
            </w:r>
            <w:r w:rsidR="003C0694">
              <w:t xml:space="preserve">Reed </w:t>
            </w:r>
            <w:r w:rsidR="0098378D">
              <w:t>and Tamara</w:t>
            </w:r>
            <w:r w:rsidR="003C0694">
              <w:t xml:space="preserve"> Allen)</w:t>
            </w:r>
          </w:p>
          <w:p w14:paraId="252D095D" w14:textId="77777777" w:rsidR="00E95C22" w:rsidRDefault="00E95C22" w:rsidP="00E95C22">
            <w:pPr>
              <w:pStyle w:val="ListParagraph"/>
              <w:numPr>
                <w:ilvl w:val="0"/>
                <w:numId w:val="18"/>
              </w:numPr>
              <w:spacing w:line="288" w:lineRule="auto"/>
              <w:ind w:right="-20"/>
            </w:pPr>
            <w:r w:rsidRPr="00352DB7">
              <w:t>SBCTC Student Finance</w:t>
            </w:r>
          </w:p>
          <w:p w14:paraId="69FF0156" w14:textId="77777777" w:rsidR="003C0694" w:rsidRDefault="003C0694" w:rsidP="003C0694">
            <w:pPr>
              <w:spacing w:line="288" w:lineRule="auto"/>
              <w:ind w:right="-20"/>
            </w:pPr>
          </w:p>
          <w:p w14:paraId="374B807C" w14:textId="1027838E" w:rsidR="003C0694" w:rsidRDefault="000636AF" w:rsidP="003C0694">
            <w:pPr>
              <w:spacing w:line="288" w:lineRule="auto"/>
              <w:ind w:left="360" w:right="-20"/>
            </w:pPr>
            <w:r>
              <w:t xml:space="preserve">Will go over survey. Will sent out again after today for </w:t>
            </w:r>
            <w:r w:rsidR="006B4267">
              <w:t>a brief period</w:t>
            </w:r>
            <w:r>
              <w:t xml:space="preserve"> to give everyone opportunity to participate.</w:t>
            </w:r>
          </w:p>
          <w:p w14:paraId="47E629F0" w14:textId="77777777" w:rsidR="000636AF" w:rsidRDefault="000636AF" w:rsidP="003C0694">
            <w:pPr>
              <w:spacing w:line="288" w:lineRule="auto"/>
              <w:ind w:left="360" w:right="-20"/>
            </w:pPr>
          </w:p>
          <w:p w14:paraId="49E2A051" w14:textId="7B5E0F3D" w:rsidR="000636AF" w:rsidRPr="00352DB7" w:rsidRDefault="000636AF" w:rsidP="003C0694">
            <w:pPr>
              <w:spacing w:line="288" w:lineRule="auto"/>
              <w:ind w:left="360" w:right="-20"/>
            </w:pPr>
          </w:p>
        </w:tc>
      </w:tr>
      <w:tr w:rsidR="002C3B49" w:rsidRPr="00352DB7" w14:paraId="7B7EA3E5" w14:textId="77777777" w:rsidTr="00387B3D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BF38" w14:textId="77777777" w:rsidR="002C3B49" w:rsidRPr="00352DB7" w:rsidRDefault="002C3B49" w:rsidP="00387B3D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11:00am – 12:00pm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9CFD" w14:textId="77777777" w:rsidR="002C3B49" w:rsidRPr="00352DB7" w:rsidRDefault="00E95C22" w:rsidP="00E95C22">
            <w:pPr>
              <w:spacing w:line="288" w:lineRule="auto"/>
              <w:ind w:right="-20"/>
            </w:pPr>
            <w:r w:rsidRPr="00352DB7">
              <w:t>BAR Business Meeting</w:t>
            </w:r>
          </w:p>
          <w:p w14:paraId="08FD60FE" w14:textId="77777777" w:rsidR="00E95C22" w:rsidRPr="00352DB7" w:rsidRDefault="00E95C22" w:rsidP="00E95C22">
            <w:pPr>
              <w:pStyle w:val="ListParagraph"/>
              <w:numPr>
                <w:ilvl w:val="0"/>
                <w:numId w:val="15"/>
              </w:numPr>
              <w:spacing w:line="288" w:lineRule="auto"/>
              <w:ind w:right="-20"/>
            </w:pPr>
            <w:r w:rsidRPr="00352DB7">
              <w:t>Election of new officers</w:t>
            </w:r>
          </w:p>
        </w:tc>
      </w:tr>
      <w:tr w:rsidR="002C3B49" w:rsidRPr="00352DB7" w14:paraId="2D6D0EC2" w14:textId="77777777" w:rsidTr="00387B3D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8E2A" w14:textId="77777777" w:rsidR="002C3B49" w:rsidRPr="00352DB7" w:rsidRDefault="002C3B49" w:rsidP="00387B3D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lastRenderedPageBreak/>
              <w:t>12:00pm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B268" w14:textId="77777777" w:rsidR="002C3B49" w:rsidRPr="00352DB7" w:rsidRDefault="000A6E20" w:rsidP="000A6E20">
            <w:pPr>
              <w:spacing w:line="288" w:lineRule="auto"/>
              <w:ind w:right="-20"/>
            </w:pPr>
            <w:r>
              <w:t>Adjourn</w:t>
            </w:r>
          </w:p>
        </w:tc>
      </w:tr>
    </w:tbl>
    <w:p w14:paraId="4BDBED2F" w14:textId="77777777" w:rsidR="002C3B49" w:rsidRDefault="002C3B49">
      <w:pPr>
        <w:spacing w:line="261" w:lineRule="auto"/>
      </w:pPr>
    </w:p>
    <w:sectPr w:rsidR="002C3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C46E5" w14:textId="77777777" w:rsidR="00075F7A" w:rsidRDefault="00075F7A">
      <w:pPr>
        <w:spacing w:line="240" w:lineRule="auto"/>
      </w:pPr>
      <w:r>
        <w:separator/>
      </w:r>
    </w:p>
  </w:endnote>
  <w:endnote w:type="continuationSeparator" w:id="0">
    <w:p w14:paraId="38ECDAEE" w14:textId="77777777" w:rsidR="00075F7A" w:rsidRDefault="00075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0FF6A" w14:textId="77777777" w:rsidR="00EE340D" w:rsidRDefault="00EE3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0952" w14:textId="77777777" w:rsidR="00EE340D" w:rsidRDefault="00EE3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CCFF6" w14:textId="77777777" w:rsidR="00A9430D" w:rsidRDefault="00A943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A0F7E" w14:textId="77777777" w:rsidR="00075F7A" w:rsidRDefault="00075F7A">
      <w:pPr>
        <w:spacing w:line="240" w:lineRule="auto"/>
      </w:pPr>
      <w:r>
        <w:separator/>
      </w:r>
    </w:p>
  </w:footnote>
  <w:footnote w:type="continuationSeparator" w:id="0">
    <w:p w14:paraId="1D26256A" w14:textId="77777777" w:rsidR="00075F7A" w:rsidRDefault="00075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2E18A" w14:textId="77777777" w:rsidR="00EE340D" w:rsidRDefault="00EE3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83FE2" w14:textId="77777777" w:rsidR="00A9430D" w:rsidRDefault="00A9430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B320" w14:textId="77777777" w:rsidR="00A9430D" w:rsidRDefault="00A9430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7C1"/>
    <w:multiLevelType w:val="hybridMultilevel"/>
    <w:tmpl w:val="8A88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8A6"/>
    <w:multiLevelType w:val="multilevel"/>
    <w:tmpl w:val="8A346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A61B9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2C022E"/>
    <w:multiLevelType w:val="hybridMultilevel"/>
    <w:tmpl w:val="899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B36C3"/>
    <w:multiLevelType w:val="hybridMultilevel"/>
    <w:tmpl w:val="891E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E060B"/>
    <w:multiLevelType w:val="hybridMultilevel"/>
    <w:tmpl w:val="2932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E0955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365243"/>
    <w:multiLevelType w:val="multilevel"/>
    <w:tmpl w:val="13C60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DD326B"/>
    <w:multiLevelType w:val="multilevel"/>
    <w:tmpl w:val="FC18A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F53BA8"/>
    <w:multiLevelType w:val="hybridMultilevel"/>
    <w:tmpl w:val="9BF4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6C6E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BD0731"/>
    <w:multiLevelType w:val="hybridMultilevel"/>
    <w:tmpl w:val="283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612"/>
    <w:multiLevelType w:val="hybridMultilevel"/>
    <w:tmpl w:val="2C34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67DB8"/>
    <w:multiLevelType w:val="multilevel"/>
    <w:tmpl w:val="C0864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E3D2457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86B0D1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1065084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484681"/>
    <w:multiLevelType w:val="hybridMultilevel"/>
    <w:tmpl w:val="F02A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B212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8517B39"/>
    <w:multiLevelType w:val="hybridMultilevel"/>
    <w:tmpl w:val="07B4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C2635"/>
    <w:multiLevelType w:val="hybridMultilevel"/>
    <w:tmpl w:val="899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041026">
    <w:abstractNumId w:val="6"/>
  </w:num>
  <w:num w:numId="2" w16cid:durableId="485324658">
    <w:abstractNumId w:val="13"/>
  </w:num>
  <w:num w:numId="3" w16cid:durableId="240258029">
    <w:abstractNumId w:val="7"/>
  </w:num>
  <w:num w:numId="4" w16cid:durableId="349599632">
    <w:abstractNumId w:val="1"/>
  </w:num>
  <w:num w:numId="5" w16cid:durableId="397828923">
    <w:abstractNumId w:val="8"/>
  </w:num>
  <w:num w:numId="6" w16cid:durableId="1793665921">
    <w:abstractNumId w:val="3"/>
  </w:num>
  <w:num w:numId="7" w16cid:durableId="2124616764">
    <w:abstractNumId w:val="20"/>
  </w:num>
  <w:num w:numId="8" w16cid:durableId="1560942347">
    <w:abstractNumId w:val="15"/>
  </w:num>
  <w:num w:numId="9" w16cid:durableId="1565872626">
    <w:abstractNumId w:val="10"/>
  </w:num>
  <w:num w:numId="10" w16cid:durableId="529028763">
    <w:abstractNumId w:val="14"/>
  </w:num>
  <w:num w:numId="11" w16cid:durableId="393741749">
    <w:abstractNumId w:val="16"/>
  </w:num>
  <w:num w:numId="12" w16cid:durableId="1345397426">
    <w:abstractNumId w:val="18"/>
  </w:num>
  <w:num w:numId="13" w16cid:durableId="766854732">
    <w:abstractNumId w:val="2"/>
  </w:num>
  <w:num w:numId="14" w16cid:durableId="201526589">
    <w:abstractNumId w:val="11"/>
  </w:num>
  <w:num w:numId="15" w16cid:durableId="1724325160">
    <w:abstractNumId w:val="0"/>
  </w:num>
  <w:num w:numId="16" w16cid:durableId="872769599">
    <w:abstractNumId w:val="12"/>
  </w:num>
  <w:num w:numId="17" w16cid:durableId="1560745824">
    <w:abstractNumId w:val="5"/>
  </w:num>
  <w:num w:numId="18" w16cid:durableId="2147114275">
    <w:abstractNumId w:val="19"/>
  </w:num>
  <w:num w:numId="19" w16cid:durableId="1207982738">
    <w:abstractNumId w:val="4"/>
  </w:num>
  <w:num w:numId="20" w16cid:durableId="67702529">
    <w:abstractNumId w:val="17"/>
  </w:num>
  <w:num w:numId="21" w16cid:durableId="2155116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0D"/>
    <w:rsid w:val="00003A20"/>
    <w:rsid w:val="0003487F"/>
    <w:rsid w:val="000428DC"/>
    <w:rsid w:val="000478D3"/>
    <w:rsid w:val="000513DD"/>
    <w:rsid w:val="00061F38"/>
    <w:rsid w:val="000636AF"/>
    <w:rsid w:val="00071318"/>
    <w:rsid w:val="00074B5B"/>
    <w:rsid w:val="00075F7A"/>
    <w:rsid w:val="00085949"/>
    <w:rsid w:val="000979BF"/>
    <w:rsid w:val="000A6E20"/>
    <w:rsid w:val="000A70C4"/>
    <w:rsid w:val="000A7BCE"/>
    <w:rsid w:val="000B32FE"/>
    <w:rsid w:val="000B7903"/>
    <w:rsid w:val="000C26D9"/>
    <w:rsid w:val="000C5090"/>
    <w:rsid w:val="000E518F"/>
    <w:rsid w:val="0010072E"/>
    <w:rsid w:val="00101D65"/>
    <w:rsid w:val="001066DD"/>
    <w:rsid w:val="001157A4"/>
    <w:rsid w:val="00130047"/>
    <w:rsid w:val="001350C8"/>
    <w:rsid w:val="00142876"/>
    <w:rsid w:val="00150C34"/>
    <w:rsid w:val="00162732"/>
    <w:rsid w:val="001641E1"/>
    <w:rsid w:val="00166FCB"/>
    <w:rsid w:val="00171411"/>
    <w:rsid w:val="0017583D"/>
    <w:rsid w:val="001772FE"/>
    <w:rsid w:val="001846F9"/>
    <w:rsid w:val="00186368"/>
    <w:rsid w:val="00190246"/>
    <w:rsid w:val="001912E9"/>
    <w:rsid w:val="0019630A"/>
    <w:rsid w:val="001B7E4F"/>
    <w:rsid w:val="001C543C"/>
    <w:rsid w:val="001D6633"/>
    <w:rsid w:val="001E2DC1"/>
    <w:rsid w:val="001F6C0B"/>
    <w:rsid w:val="002015CA"/>
    <w:rsid w:val="0022687C"/>
    <w:rsid w:val="00237272"/>
    <w:rsid w:val="00237429"/>
    <w:rsid w:val="00244459"/>
    <w:rsid w:val="002501DC"/>
    <w:rsid w:val="00255CF0"/>
    <w:rsid w:val="00260341"/>
    <w:rsid w:val="00260456"/>
    <w:rsid w:val="00262D83"/>
    <w:rsid w:val="00265D11"/>
    <w:rsid w:val="002729A1"/>
    <w:rsid w:val="00282B97"/>
    <w:rsid w:val="00285219"/>
    <w:rsid w:val="002A57F6"/>
    <w:rsid w:val="002B25C1"/>
    <w:rsid w:val="002B3AEF"/>
    <w:rsid w:val="002C3B49"/>
    <w:rsid w:val="002F2638"/>
    <w:rsid w:val="002F65E6"/>
    <w:rsid w:val="003068DF"/>
    <w:rsid w:val="003136EC"/>
    <w:rsid w:val="003234D2"/>
    <w:rsid w:val="00327C1B"/>
    <w:rsid w:val="00342EFF"/>
    <w:rsid w:val="003442C0"/>
    <w:rsid w:val="00351EAA"/>
    <w:rsid w:val="00352DB7"/>
    <w:rsid w:val="0036704A"/>
    <w:rsid w:val="003A09B2"/>
    <w:rsid w:val="003A571D"/>
    <w:rsid w:val="003C0694"/>
    <w:rsid w:val="003C17D1"/>
    <w:rsid w:val="003C3867"/>
    <w:rsid w:val="003C6ADC"/>
    <w:rsid w:val="003D44E5"/>
    <w:rsid w:val="003D7AE5"/>
    <w:rsid w:val="003E7CAD"/>
    <w:rsid w:val="003F5D6B"/>
    <w:rsid w:val="00416225"/>
    <w:rsid w:val="004174A1"/>
    <w:rsid w:val="0043004B"/>
    <w:rsid w:val="00433725"/>
    <w:rsid w:val="00462F69"/>
    <w:rsid w:val="00465A76"/>
    <w:rsid w:val="004662D2"/>
    <w:rsid w:val="00487064"/>
    <w:rsid w:val="004A2539"/>
    <w:rsid w:val="004E132B"/>
    <w:rsid w:val="004E3177"/>
    <w:rsid w:val="004F4509"/>
    <w:rsid w:val="0054288A"/>
    <w:rsid w:val="00550812"/>
    <w:rsid w:val="005550F5"/>
    <w:rsid w:val="00555D6F"/>
    <w:rsid w:val="00561974"/>
    <w:rsid w:val="00565F20"/>
    <w:rsid w:val="00566D84"/>
    <w:rsid w:val="00577C0A"/>
    <w:rsid w:val="00593ACD"/>
    <w:rsid w:val="005956A7"/>
    <w:rsid w:val="005A0E98"/>
    <w:rsid w:val="005A1A22"/>
    <w:rsid w:val="005A2424"/>
    <w:rsid w:val="005B1389"/>
    <w:rsid w:val="005C6804"/>
    <w:rsid w:val="005D63D2"/>
    <w:rsid w:val="005E7B21"/>
    <w:rsid w:val="00610F7B"/>
    <w:rsid w:val="006156C8"/>
    <w:rsid w:val="00615A6B"/>
    <w:rsid w:val="00627C6C"/>
    <w:rsid w:val="006739C8"/>
    <w:rsid w:val="00675546"/>
    <w:rsid w:val="00685B1B"/>
    <w:rsid w:val="00691C93"/>
    <w:rsid w:val="006B374B"/>
    <w:rsid w:val="006B4267"/>
    <w:rsid w:val="006B6185"/>
    <w:rsid w:val="006C1853"/>
    <w:rsid w:val="006E74FC"/>
    <w:rsid w:val="006E7F6C"/>
    <w:rsid w:val="0070353E"/>
    <w:rsid w:val="00712008"/>
    <w:rsid w:val="00716A30"/>
    <w:rsid w:val="00716CC4"/>
    <w:rsid w:val="00734C48"/>
    <w:rsid w:val="007363F7"/>
    <w:rsid w:val="00737500"/>
    <w:rsid w:val="00752D79"/>
    <w:rsid w:val="00757147"/>
    <w:rsid w:val="00757DB9"/>
    <w:rsid w:val="007619FF"/>
    <w:rsid w:val="00762352"/>
    <w:rsid w:val="00773EC6"/>
    <w:rsid w:val="00774001"/>
    <w:rsid w:val="00775A75"/>
    <w:rsid w:val="00780302"/>
    <w:rsid w:val="00785D48"/>
    <w:rsid w:val="00791D11"/>
    <w:rsid w:val="007F66EE"/>
    <w:rsid w:val="00801F25"/>
    <w:rsid w:val="00806799"/>
    <w:rsid w:val="00813CDC"/>
    <w:rsid w:val="00852BF3"/>
    <w:rsid w:val="0085376B"/>
    <w:rsid w:val="00855F08"/>
    <w:rsid w:val="00877680"/>
    <w:rsid w:val="00887D99"/>
    <w:rsid w:val="00890A72"/>
    <w:rsid w:val="008A142A"/>
    <w:rsid w:val="008A15D0"/>
    <w:rsid w:val="008B46AB"/>
    <w:rsid w:val="008B5DB0"/>
    <w:rsid w:val="008C683B"/>
    <w:rsid w:val="008C689D"/>
    <w:rsid w:val="008D3DA6"/>
    <w:rsid w:val="008F5D45"/>
    <w:rsid w:val="009017D3"/>
    <w:rsid w:val="00907858"/>
    <w:rsid w:val="00924EEF"/>
    <w:rsid w:val="009251C7"/>
    <w:rsid w:val="00951403"/>
    <w:rsid w:val="009514D3"/>
    <w:rsid w:val="0095363C"/>
    <w:rsid w:val="0095397B"/>
    <w:rsid w:val="00963DF4"/>
    <w:rsid w:val="00966D57"/>
    <w:rsid w:val="00970479"/>
    <w:rsid w:val="00972A26"/>
    <w:rsid w:val="0098378D"/>
    <w:rsid w:val="009B3E03"/>
    <w:rsid w:val="009B5ED0"/>
    <w:rsid w:val="009D68FF"/>
    <w:rsid w:val="009E289F"/>
    <w:rsid w:val="00A208A8"/>
    <w:rsid w:val="00A2207C"/>
    <w:rsid w:val="00A325CB"/>
    <w:rsid w:val="00A47512"/>
    <w:rsid w:val="00A5350C"/>
    <w:rsid w:val="00A61998"/>
    <w:rsid w:val="00A71658"/>
    <w:rsid w:val="00A810E0"/>
    <w:rsid w:val="00A81920"/>
    <w:rsid w:val="00A84472"/>
    <w:rsid w:val="00A9430D"/>
    <w:rsid w:val="00A96E51"/>
    <w:rsid w:val="00AA0DA2"/>
    <w:rsid w:val="00AB58E7"/>
    <w:rsid w:val="00AC391C"/>
    <w:rsid w:val="00AD75F8"/>
    <w:rsid w:val="00AF49E8"/>
    <w:rsid w:val="00AF7AFE"/>
    <w:rsid w:val="00B04AE4"/>
    <w:rsid w:val="00B05048"/>
    <w:rsid w:val="00B13297"/>
    <w:rsid w:val="00B14997"/>
    <w:rsid w:val="00B15C42"/>
    <w:rsid w:val="00B22383"/>
    <w:rsid w:val="00B23BE9"/>
    <w:rsid w:val="00B3373F"/>
    <w:rsid w:val="00B56CD7"/>
    <w:rsid w:val="00B631BC"/>
    <w:rsid w:val="00B640AC"/>
    <w:rsid w:val="00B65DDB"/>
    <w:rsid w:val="00B77F1E"/>
    <w:rsid w:val="00B850FD"/>
    <w:rsid w:val="00B901DB"/>
    <w:rsid w:val="00B92D2B"/>
    <w:rsid w:val="00B94A89"/>
    <w:rsid w:val="00B95A62"/>
    <w:rsid w:val="00BB3AB8"/>
    <w:rsid w:val="00BB6FD1"/>
    <w:rsid w:val="00BB7486"/>
    <w:rsid w:val="00BC4CAF"/>
    <w:rsid w:val="00BE4759"/>
    <w:rsid w:val="00BF3396"/>
    <w:rsid w:val="00BF4CA1"/>
    <w:rsid w:val="00C07AA9"/>
    <w:rsid w:val="00C10A42"/>
    <w:rsid w:val="00C139A0"/>
    <w:rsid w:val="00C168A5"/>
    <w:rsid w:val="00C4316C"/>
    <w:rsid w:val="00C46623"/>
    <w:rsid w:val="00C5266B"/>
    <w:rsid w:val="00C8062B"/>
    <w:rsid w:val="00C849CC"/>
    <w:rsid w:val="00C92051"/>
    <w:rsid w:val="00CA0275"/>
    <w:rsid w:val="00CA1664"/>
    <w:rsid w:val="00CA5F8C"/>
    <w:rsid w:val="00CD7166"/>
    <w:rsid w:val="00CD7BC6"/>
    <w:rsid w:val="00CE27E5"/>
    <w:rsid w:val="00CF286B"/>
    <w:rsid w:val="00CF454E"/>
    <w:rsid w:val="00CF4887"/>
    <w:rsid w:val="00CF4EF2"/>
    <w:rsid w:val="00D02D38"/>
    <w:rsid w:val="00D05466"/>
    <w:rsid w:val="00D11BEB"/>
    <w:rsid w:val="00D137ED"/>
    <w:rsid w:val="00D17203"/>
    <w:rsid w:val="00D20033"/>
    <w:rsid w:val="00D2267B"/>
    <w:rsid w:val="00D25D5F"/>
    <w:rsid w:val="00D304FD"/>
    <w:rsid w:val="00D33797"/>
    <w:rsid w:val="00D36965"/>
    <w:rsid w:val="00D53B7F"/>
    <w:rsid w:val="00D5517C"/>
    <w:rsid w:val="00D74851"/>
    <w:rsid w:val="00D8696D"/>
    <w:rsid w:val="00D87565"/>
    <w:rsid w:val="00D9502C"/>
    <w:rsid w:val="00DA2C5E"/>
    <w:rsid w:val="00DA3E13"/>
    <w:rsid w:val="00DC5957"/>
    <w:rsid w:val="00DD6075"/>
    <w:rsid w:val="00DE2401"/>
    <w:rsid w:val="00DE3DD4"/>
    <w:rsid w:val="00DE7422"/>
    <w:rsid w:val="00DF0808"/>
    <w:rsid w:val="00DF215A"/>
    <w:rsid w:val="00E001E7"/>
    <w:rsid w:val="00E008BB"/>
    <w:rsid w:val="00E017DD"/>
    <w:rsid w:val="00E25118"/>
    <w:rsid w:val="00E37BB4"/>
    <w:rsid w:val="00E47FCE"/>
    <w:rsid w:val="00E51334"/>
    <w:rsid w:val="00E76726"/>
    <w:rsid w:val="00E9294C"/>
    <w:rsid w:val="00E92E23"/>
    <w:rsid w:val="00E9409F"/>
    <w:rsid w:val="00E95C22"/>
    <w:rsid w:val="00EA46BC"/>
    <w:rsid w:val="00EB331D"/>
    <w:rsid w:val="00EE1620"/>
    <w:rsid w:val="00EE340D"/>
    <w:rsid w:val="00EE7C4B"/>
    <w:rsid w:val="00F225A7"/>
    <w:rsid w:val="00F326E3"/>
    <w:rsid w:val="00F356ED"/>
    <w:rsid w:val="00F40732"/>
    <w:rsid w:val="00F61F7B"/>
    <w:rsid w:val="00F6401E"/>
    <w:rsid w:val="00F64947"/>
    <w:rsid w:val="00F720F7"/>
    <w:rsid w:val="00F76BF4"/>
    <w:rsid w:val="00F95411"/>
    <w:rsid w:val="00FA755B"/>
    <w:rsid w:val="00FD57A8"/>
    <w:rsid w:val="00FE6DDF"/>
    <w:rsid w:val="00FF0DEC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7D7F"/>
  <w15:docId w15:val="{4FE24C39-894E-4CC6-863B-238BB98A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09B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E34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4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4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0D"/>
  </w:style>
  <w:style w:type="paragraph" w:styleId="Footer">
    <w:name w:val="footer"/>
    <w:basedOn w:val="Normal"/>
    <w:link w:val="FooterChar"/>
    <w:uiPriority w:val="99"/>
    <w:unhideWhenUsed/>
    <w:rsid w:val="00EE34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0D"/>
  </w:style>
  <w:style w:type="paragraph" w:styleId="ListParagraph">
    <w:name w:val="List Paragraph"/>
    <w:basedOn w:val="Normal"/>
    <w:uiPriority w:val="34"/>
    <w:qFormat/>
    <w:rsid w:val="00E0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10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Parton, Valerie</dc:creator>
  <cp:keywords/>
  <dc:description/>
  <cp:lastModifiedBy>Debra Maxwell</cp:lastModifiedBy>
  <cp:revision>268</cp:revision>
  <cp:lastPrinted>2023-10-04T16:28:00Z</cp:lastPrinted>
  <dcterms:created xsi:type="dcterms:W3CDTF">2024-04-25T16:49:00Z</dcterms:created>
  <dcterms:modified xsi:type="dcterms:W3CDTF">2024-04-26T18:04:00Z</dcterms:modified>
</cp:coreProperties>
</file>